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4BF7" w:rsidRPr="00B94763" w:rsidRDefault="00E44BF7" w:rsidP="00E44BF7">
      <w:pPr>
        <w:jc w:val="center"/>
        <w:rPr>
          <w:rFonts w:ascii="Tahoma" w:hAnsi="Tahoma" w:cs="Tahoma"/>
          <w:b/>
          <w:bCs/>
          <w:sz w:val="40"/>
          <w:szCs w:val="40"/>
          <w:lang w:eastAsia="en-US"/>
        </w:rPr>
      </w:pPr>
      <w:r w:rsidRPr="00B94763">
        <w:rPr>
          <w:rFonts w:ascii="Tahoma" w:hAnsi="Tahoma" w:cs="Tahoma"/>
          <w:b/>
          <w:bCs/>
          <w:sz w:val="40"/>
          <w:szCs w:val="40"/>
          <w:lang w:eastAsia="en-US"/>
        </w:rPr>
        <w:t>The University Medical Practice</w:t>
      </w:r>
    </w:p>
    <w:p w:rsidR="002A39BF" w:rsidRPr="00B94763" w:rsidRDefault="002A39BF" w:rsidP="002A39BF">
      <w:pPr>
        <w:tabs>
          <w:tab w:val="left" w:pos="270"/>
          <w:tab w:val="left" w:pos="1890"/>
          <w:tab w:val="right" w:pos="9450"/>
        </w:tabs>
        <w:jc w:val="center"/>
        <w:rPr>
          <w:rFonts w:ascii="Tahoma" w:hAnsi="Tahoma" w:cs="Tahoma"/>
          <w:sz w:val="16"/>
          <w:szCs w:val="16"/>
          <w:lang w:eastAsia="en-US"/>
        </w:rPr>
      </w:pPr>
    </w:p>
    <w:p w:rsidR="002A39BF" w:rsidRPr="00B94763" w:rsidRDefault="002A39BF" w:rsidP="002A39BF">
      <w:pPr>
        <w:tabs>
          <w:tab w:val="left" w:pos="270"/>
          <w:tab w:val="left" w:pos="1890"/>
          <w:tab w:val="right" w:pos="9450"/>
        </w:tabs>
        <w:jc w:val="center"/>
        <w:rPr>
          <w:rFonts w:ascii="Tahoma" w:hAnsi="Tahoma" w:cs="Tahoma"/>
          <w:sz w:val="16"/>
          <w:szCs w:val="16"/>
          <w:lang w:eastAsia="en-US"/>
        </w:rPr>
      </w:pPr>
      <w:r w:rsidRPr="00B94763">
        <w:rPr>
          <w:rFonts w:ascii="Tahoma" w:hAnsi="Tahoma" w:cs="Tahoma"/>
          <w:sz w:val="16"/>
          <w:szCs w:val="16"/>
          <w:lang w:eastAsia="en-US"/>
        </w:rPr>
        <w:t>Partners</w:t>
      </w:r>
    </w:p>
    <w:p w:rsidR="002A39BF" w:rsidRPr="00B94763" w:rsidRDefault="002A39BF" w:rsidP="002A39BF">
      <w:pPr>
        <w:tabs>
          <w:tab w:val="left" w:pos="270"/>
          <w:tab w:val="left" w:pos="1890"/>
          <w:tab w:val="right" w:pos="9450"/>
        </w:tabs>
        <w:jc w:val="center"/>
        <w:rPr>
          <w:rFonts w:ascii="Tahoma" w:hAnsi="Tahoma" w:cs="Tahoma"/>
          <w:sz w:val="16"/>
          <w:szCs w:val="16"/>
          <w:lang w:eastAsia="en-US"/>
        </w:rPr>
      </w:pPr>
    </w:p>
    <w:p w:rsidR="00E44BF7" w:rsidRDefault="002A39BF" w:rsidP="00E725C8">
      <w:pPr>
        <w:ind w:left="-709" w:right="-181"/>
        <w:jc w:val="center"/>
        <w:rPr>
          <w:rFonts w:ascii="Tahoma" w:hAnsi="Tahoma" w:cs="Tahoma"/>
          <w:b/>
          <w:sz w:val="16"/>
          <w:szCs w:val="16"/>
        </w:rPr>
      </w:pPr>
      <w:r w:rsidRPr="00B94763">
        <w:rPr>
          <w:rFonts w:ascii="Tahoma" w:hAnsi="Tahoma" w:cs="Tahoma"/>
          <w:b/>
          <w:noProof/>
          <w:sz w:val="24"/>
          <w:szCs w:val="24"/>
        </w:rPr>
        <mc:AlternateContent>
          <mc:Choice Requires="wps">
            <w:drawing>
              <wp:anchor distT="0" distB="0" distL="114300" distR="114300" simplePos="0" relativeHeight="251659264" behindDoc="0" locked="0" layoutInCell="1" allowOverlap="1" wp14:anchorId="7D60FF0A" wp14:editId="0D2523BD">
                <wp:simplePos x="0" y="0"/>
                <wp:positionH relativeFrom="column">
                  <wp:posOffset>-476250</wp:posOffset>
                </wp:positionH>
                <wp:positionV relativeFrom="paragraph">
                  <wp:posOffset>194310</wp:posOffset>
                </wp:positionV>
                <wp:extent cx="6629400" cy="0"/>
                <wp:effectExtent l="0" t="38100" r="0" b="3810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76200" cmpd="tri">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AA2155"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15.3pt" to="484.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" strokecolor="red" strokeweight="6pt">
                <v:stroke linestyle="thickBetweenThin"/>
              </v:line>
            </w:pict>
          </mc:Fallback>
        </mc:AlternateContent>
      </w:r>
      <w:r w:rsidR="00E44BF7" w:rsidRPr="00B94763">
        <w:rPr>
          <w:rFonts w:ascii="Tahoma" w:hAnsi="Tahoma" w:cs="Tahoma"/>
          <w:b/>
          <w:sz w:val="16"/>
          <w:szCs w:val="16"/>
          <w:lang w:eastAsia="en-US"/>
        </w:rPr>
        <w:t>Ann R Boulter</w:t>
      </w:r>
      <w:r w:rsidR="005C75EA">
        <w:rPr>
          <w:rFonts w:ascii="Tahoma" w:hAnsi="Tahoma" w:cs="Tahoma"/>
          <w:b/>
          <w:sz w:val="16"/>
          <w:szCs w:val="16"/>
          <w:lang w:eastAsia="en-US"/>
        </w:rPr>
        <w:t>,</w:t>
      </w:r>
      <w:r w:rsidRPr="00B94763">
        <w:rPr>
          <w:rFonts w:ascii="Tahoma" w:hAnsi="Tahoma" w:cs="Tahoma"/>
          <w:b/>
          <w:sz w:val="16"/>
          <w:szCs w:val="16"/>
          <w:lang w:eastAsia="en-US"/>
        </w:rPr>
        <w:t xml:space="preserve"> </w:t>
      </w:r>
      <w:r w:rsidR="00E44BF7" w:rsidRPr="00B94763">
        <w:rPr>
          <w:rFonts w:ascii="Tahoma" w:hAnsi="Tahoma" w:cs="Tahoma"/>
          <w:b/>
          <w:sz w:val="16"/>
          <w:szCs w:val="16"/>
          <w:lang w:eastAsia="en-US"/>
        </w:rPr>
        <w:t>Sanjiv Basra</w:t>
      </w:r>
      <w:r w:rsidRPr="00B94763">
        <w:rPr>
          <w:rFonts w:ascii="Tahoma" w:hAnsi="Tahoma" w:cs="Tahoma"/>
          <w:b/>
          <w:sz w:val="16"/>
          <w:szCs w:val="16"/>
          <w:lang w:eastAsia="en-US"/>
        </w:rPr>
        <w:t xml:space="preserve">, </w:t>
      </w:r>
      <w:r w:rsidR="00E44BF7" w:rsidRPr="00B94763">
        <w:rPr>
          <w:rFonts w:ascii="Tahoma" w:hAnsi="Tahoma" w:cs="Tahoma"/>
          <w:b/>
          <w:sz w:val="16"/>
          <w:szCs w:val="16"/>
          <w:lang w:eastAsia="en-US"/>
        </w:rPr>
        <w:t>Idnan Yunas</w:t>
      </w:r>
      <w:r w:rsidRPr="00B94763">
        <w:rPr>
          <w:rFonts w:ascii="Tahoma" w:hAnsi="Tahoma" w:cs="Tahoma"/>
          <w:b/>
          <w:sz w:val="16"/>
          <w:szCs w:val="16"/>
          <w:lang w:eastAsia="en-US"/>
        </w:rPr>
        <w:t xml:space="preserve">, </w:t>
      </w:r>
      <w:r w:rsidR="00BF032C" w:rsidRPr="00B94763">
        <w:rPr>
          <w:rFonts w:ascii="Tahoma" w:hAnsi="Tahoma" w:cs="Tahoma"/>
          <w:b/>
          <w:sz w:val="16"/>
          <w:szCs w:val="16"/>
        </w:rPr>
        <w:t>Atif Hassan</w:t>
      </w:r>
      <w:r w:rsidR="005C75EA">
        <w:rPr>
          <w:rFonts w:ascii="Tahoma" w:hAnsi="Tahoma" w:cs="Tahoma"/>
          <w:b/>
          <w:sz w:val="16"/>
          <w:szCs w:val="16"/>
        </w:rPr>
        <w:t>, Alex Brennan, Vanessa Horton</w:t>
      </w:r>
    </w:p>
    <w:p w:rsidR="00E725C8" w:rsidRDefault="00E725C8" w:rsidP="00E725C8">
      <w:pPr>
        <w:ind w:left="-709" w:right="-181"/>
        <w:jc w:val="center"/>
        <w:rPr>
          <w:rFonts w:ascii="Lucida Sans Unicode" w:hAnsi="Lucida Sans Unicode" w:cs="Lucida Sans Unicode"/>
          <w:b/>
          <w:sz w:val="16"/>
          <w:szCs w:val="16"/>
          <w:lang w:eastAsia="en-US"/>
        </w:rPr>
      </w:pPr>
    </w:p>
    <w:p w:rsidR="0024078E" w:rsidRPr="0024078E" w:rsidRDefault="0024078E" w:rsidP="00074FE5">
      <w:pPr>
        <w:ind w:left="-142" w:right="-40"/>
        <w:jc w:val="center"/>
        <w:rPr>
          <w:rFonts w:ascii="Tahoma" w:hAnsi="Tahoma" w:cs="Tahoma"/>
          <w:caps/>
          <w:sz w:val="36"/>
          <w:szCs w:val="36"/>
          <w:u w:val="single"/>
        </w:rPr>
      </w:pPr>
      <w:r w:rsidRPr="0024078E">
        <w:rPr>
          <w:rFonts w:ascii="Tahoma" w:hAnsi="Tahoma" w:cs="Tahoma"/>
          <w:b/>
          <w:caps/>
          <w:sz w:val="36"/>
          <w:szCs w:val="36"/>
          <w:u w:val="single"/>
        </w:rPr>
        <w:t xml:space="preserve">SURGERY PROTOCOL – </w:t>
      </w:r>
      <w:r w:rsidR="00CB5B30">
        <w:rPr>
          <w:rFonts w:ascii="Tahoma" w:hAnsi="Tahoma" w:cs="Tahoma"/>
          <w:b/>
          <w:caps/>
          <w:sz w:val="36"/>
          <w:szCs w:val="36"/>
          <w:u w:val="single"/>
        </w:rPr>
        <w:t>2024-25</w:t>
      </w:r>
    </w:p>
    <w:p w:rsidR="0024078E" w:rsidRDefault="0024078E" w:rsidP="00074FE5">
      <w:pPr>
        <w:tabs>
          <w:tab w:val="left" w:pos="270"/>
          <w:tab w:val="left" w:pos="1890"/>
          <w:tab w:val="right" w:pos="9450"/>
        </w:tabs>
        <w:ind w:left="-284" w:right="-40"/>
        <w:jc w:val="both"/>
        <w:rPr>
          <w:rFonts w:ascii="Lucida Sans Unicode" w:hAnsi="Lucida Sans Unicode" w:cs="Lucida Sans Unicode"/>
          <w:b/>
          <w:sz w:val="16"/>
          <w:szCs w:val="16"/>
          <w:lang w:eastAsia="en-US"/>
        </w:rPr>
      </w:pPr>
    </w:p>
    <w:p w:rsidR="00B94763" w:rsidRDefault="00B94763" w:rsidP="00074FE5">
      <w:pPr>
        <w:tabs>
          <w:tab w:val="left" w:pos="270"/>
          <w:tab w:val="left" w:pos="1890"/>
          <w:tab w:val="right" w:pos="9450"/>
        </w:tabs>
        <w:ind w:left="-284" w:right="-40"/>
        <w:jc w:val="both"/>
        <w:rPr>
          <w:rFonts w:ascii="Lucida Sans Unicode" w:hAnsi="Lucida Sans Unicode" w:cs="Lucida Sans Unicode"/>
          <w:b/>
          <w:sz w:val="16"/>
          <w:szCs w:val="16"/>
          <w:lang w:eastAsia="en-US"/>
        </w:rPr>
      </w:pPr>
    </w:p>
    <w:p w:rsidR="00B94763" w:rsidRDefault="00512919" w:rsidP="00C14550">
      <w:pPr>
        <w:tabs>
          <w:tab w:val="right" w:pos="9450"/>
        </w:tabs>
        <w:jc w:val="center"/>
        <w:rPr>
          <w:rFonts w:ascii="Lucida Sans Unicode" w:hAnsi="Lucida Sans Unicode" w:cs="Lucida Sans Unicode"/>
          <w:b/>
          <w:sz w:val="16"/>
          <w:szCs w:val="16"/>
          <w:lang w:eastAsia="en-US"/>
        </w:rPr>
      </w:pPr>
      <w:r>
        <w:rPr>
          <w:rFonts w:ascii="Tahoma" w:hAnsi="Tahoma" w:cs="Tahoma"/>
          <w:b/>
          <w:caps/>
          <w:sz w:val="36"/>
          <w:szCs w:val="36"/>
          <w:u w:val="single"/>
        </w:rPr>
        <w:t>Shared Care prescribing</w:t>
      </w:r>
    </w:p>
    <w:p w:rsidR="00B94763" w:rsidRDefault="00B94763" w:rsidP="002A39BF">
      <w:pPr>
        <w:tabs>
          <w:tab w:val="left" w:pos="270"/>
          <w:tab w:val="left" w:pos="1890"/>
          <w:tab w:val="right" w:pos="9450"/>
        </w:tabs>
        <w:ind w:left="-284"/>
        <w:jc w:val="both"/>
        <w:rPr>
          <w:rFonts w:ascii="Lucida Sans Unicode" w:hAnsi="Lucida Sans Unicode" w:cs="Lucida Sans Unicode"/>
          <w:b/>
          <w:sz w:val="16"/>
          <w:szCs w:val="16"/>
          <w:lang w:eastAsia="en-US"/>
        </w:rPr>
      </w:pPr>
    </w:p>
    <w:p w:rsidR="00B94763" w:rsidRPr="00B94763" w:rsidRDefault="00B94763" w:rsidP="00B94763">
      <w:pPr>
        <w:outlineLvl w:val="1"/>
        <w:rPr>
          <w:rFonts w:ascii="Tahoma" w:eastAsia="Arial" w:hAnsi="Tahoma" w:cs="Tahoma"/>
          <w:b/>
          <w:color w:val="000000"/>
          <w:spacing w:val="-2"/>
          <w:sz w:val="22"/>
          <w:szCs w:val="22"/>
          <w:u w:val="single"/>
          <w:lang w:eastAsia="en-US"/>
        </w:rPr>
      </w:pPr>
      <w:r w:rsidRPr="00B94763">
        <w:rPr>
          <w:rFonts w:ascii="Tahoma" w:eastAsia="Arial" w:hAnsi="Tahoma" w:cs="Tahoma"/>
          <w:b/>
          <w:color w:val="000000"/>
          <w:spacing w:val="-2"/>
          <w:sz w:val="22"/>
          <w:szCs w:val="22"/>
          <w:u w:val="single"/>
          <w:lang w:eastAsia="en-US"/>
        </w:rPr>
        <w:t>Document Control</w:t>
      </w:r>
    </w:p>
    <w:p w:rsidR="00B94763" w:rsidRPr="00B94763" w:rsidRDefault="00B94763" w:rsidP="00B94763">
      <w:pPr>
        <w:rPr>
          <w:rFonts w:ascii="Tahoma" w:eastAsia="Arial" w:hAnsi="Tahoma" w:cs="Tahoma"/>
          <w:color w:val="000000"/>
          <w:spacing w:val="-2"/>
          <w:sz w:val="22"/>
          <w:szCs w:val="22"/>
          <w:lang w:eastAsia="en-US"/>
        </w:rPr>
      </w:pPr>
    </w:p>
    <w:p w:rsidR="00B94763" w:rsidRPr="00B94763" w:rsidRDefault="00B94763" w:rsidP="00B94763">
      <w:pPr>
        <w:outlineLvl w:val="2"/>
        <w:rPr>
          <w:rFonts w:ascii="Tahoma" w:eastAsia="Arial" w:hAnsi="Tahoma" w:cs="Tahoma"/>
          <w:b/>
          <w:color w:val="000000"/>
          <w:spacing w:val="-2"/>
          <w:sz w:val="22"/>
          <w:szCs w:val="22"/>
          <w:lang w:eastAsia="en-US"/>
        </w:rPr>
      </w:pPr>
      <w:r w:rsidRPr="00B94763">
        <w:rPr>
          <w:rFonts w:ascii="Tahoma" w:eastAsia="Arial" w:hAnsi="Tahoma" w:cs="Tahoma"/>
          <w:b/>
          <w:color w:val="000000"/>
          <w:spacing w:val="-2"/>
          <w:sz w:val="22"/>
          <w:szCs w:val="22"/>
          <w:lang w:eastAsia="en-US"/>
        </w:rPr>
        <w:t>A.</w:t>
      </w:r>
      <w:r w:rsidRPr="00B94763">
        <w:rPr>
          <w:rFonts w:ascii="Tahoma" w:eastAsia="Arial" w:hAnsi="Tahoma" w:cs="Tahoma"/>
          <w:b/>
          <w:color w:val="000000"/>
          <w:spacing w:val="-2"/>
          <w:sz w:val="22"/>
          <w:szCs w:val="22"/>
          <w:lang w:eastAsia="en-US"/>
        </w:rPr>
        <w:tab/>
        <w:t>Confidentiality Notice</w:t>
      </w:r>
    </w:p>
    <w:p w:rsidR="00B94763" w:rsidRPr="00B94763" w:rsidRDefault="00B94763" w:rsidP="00B94763">
      <w:pPr>
        <w:rPr>
          <w:rFonts w:ascii="Tahoma" w:eastAsia="Arial" w:hAnsi="Tahoma" w:cs="Tahoma"/>
          <w:color w:val="000000"/>
          <w:spacing w:val="-2"/>
          <w:sz w:val="22"/>
          <w:szCs w:val="22"/>
          <w:lang w:eastAsia="en-US"/>
        </w:rPr>
      </w:pPr>
    </w:p>
    <w:p w:rsidR="00B94763" w:rsidRPr="00B94763" w:rsidRDefault="00B94763" w:rsidP="00B94763">
      <w:pPr>
        <w:jc w:val="both"/>
        <w:rPr>
          <w:rFonts w:ascii="Tahoma" w:eastAsia="Arial" w:hAnsi="Tahoma" w:cs="Tahoma"/>
          <w:color w:val="000000"/>
          <w:spacing w:val="-2"/>
          <w:sz w:val="22"/>
          <w:szCs w:val="22"/>
          <w:lang w:eastAsia="en-US"/>
        </w:rPr>
      </w:pPr>
      <w:r w:rsidRPr="00B94763">
        <w:rPr>
          <w:rFonts w:ascii="Tahoma" w:eastAsia="Arial" w:hAnsi="Tahoma" w:cs="Tahoma"/>
          <w:color w:val="000000"/>
          <w:spacing w:val="-2"/>
          <w:sz w:val="22"/>
          <w:szCs w:val="22"/>
          <w:lang w:eastAsia="en-US"/>
        </w:rPr>
        <w:t xml:space="preserve">This document and the information contained therein is the property of </w:t>
      </w:r>
      <w:r w:rsidRPr="00B94763">
        <w:rPr>
          <w:rFonts w:ascii="Tahoma" w:eastAsia="Arial" w:hAnsi="Tahoma" w:cs="Tahoma"/>
          <w:color w:val="000000"/>
          <w:spacing w:val="-2"/>
          <w:sz w:val="22"/>
          <w:szCs w:val="22"/>
          <w:lang w:eastAsia="en-US"/>
        </w:rPr>
        <w:fldChar w:fldCharType="begin"/>
      </w:r>
      <w:r w:rsidRPr="00B94763">
        <w:rPr>
          <w:rFonts w:ascii="Tahoma" w:eastAsia="Arial" w:hAnsi="Tahoma" w:cs="Tahoma"/>
          <w:color w:val="000000"/>
          <w:spacing w:val="-2"/>
          <w:sz w:val="22"/>
          <w:szCs w:val="22"/>
          <w:lang w:eastAsia="en-US"/>
        </w:rPr>
        <w:instrText xml:space="preserve"> DOCPROPERTY  Company  \* MERGEFORMAT </w:instrText>
      </w:r>
      <w:r w:rsidRPr="00B94763">
        <w:rPr>
          <w:rFonts w:ascii="Tahoma" w:eastAsia="Arial" w:hAnsi="Tahoma" w:cs="Tahoma"/>
          <w:color w:val="000000"/>
          <w:spacing w:val="-2"/>
          <w:sz w:val="22"/>
          <w:szCs w:val="22"/>
          <w:lang w:eastAsia="en-US"/>
        </w:rPr>
        <w:fldChar w:fldCharType="separate"/>
      </w:r>
      <w:r>
        <w:rPr>
          <w:rFonts w:ascii="Tahoma" w:eastAsia="Arial" w:hAnsi="Tahoma" w:cs="Tahoma"/>
          <w:color w:val="000000"/>
          <w:spacing w:val="-2"/>
          <w:sz w:val="22"/>
          <w:szCs w:val="22"/>
          <w:lang w:eastAsia="en-US"/>
        </w:rPr>
        <w:t>The University Medical Practice</w:t>
      </w:r>
      <w:r w:rsidRPr="00B94763">
        <w:rPr>
          <w:rFonts w:ascii="Tahoma" w:eastAsia="Arial" w:hAnsi="Tahoma" w:cs="Tahoma"/>
          <w:color w:val="000000"/>
          <w:spacing w:val="-2"/>
          <w:sz w:val="22"/>
          <w:szCs w:val="22"/>
          <w:lang w:eastAsia="en-US"/>
        </w:rPr>
        <w:fldChar w:fldCharType="end"/>
      </w:r>
      <w:r w:rsidRPr="00B94763">
        <w:rPr>
          <w:rFonts w:ascii="Tahoma" w:eastAsia="Arial" w:hAnsi="Tahoma" w:cs="Tahoma"/>
          <w:color w:val="000000"/>
          <w:spacing w:val="-2"/>
          <w:sz w:val="22"/>
          <w:szCs w:val="22"/>
          <w:lang w:eastAsia="en-US"/>
        </w:rPr>
        <w:t>.</w:t>
      </w:r>
    </w:p>
    <w:p w:rsidR="00B94763" w:rsidRPr="00B94763" w:rsidRDefault="00B94763" w:rsidP="00B94763">
      <w:pPr>
        <w:jc w:val="both"/>
        <w:rPr>
          <w:rFonts w:ascii="Tahoma" w:eastAsia="Arial" w:hAnsi="Tahoma" w:cs="Tahoma"/>
          <w:color w:val="000000"/>
          <w:spacing w:val="-2"/>
          <w:sz w:val="22"/>
          <w:szCs w:val="22"/>
          <w:lang w:eastAsia="en-US"/>
        </w:rPr>
      </w:pPr>
    </w:p>
    <w:p w:rsidR="00B94763" w:rsidRDefault="00B94763" w:rsidP="00B94763">
      <w:pPr>
        <w:jc w:val="both"/>
        <w:rPr>
          <w:rFonts w:ascii="Tahoma" w:eastAsia="Arial" w:hAnsi="Tahoma" w:cs="Tahoma"/>
          <w:color w:val="000000"/>
          <w:spacing w:val="-2"/>
          <w:sz w:val="22"/>
          <w:szCs w:val="22"/>
          <w:lang w:eastAsia="en-US"/>
        </w:rPr>
      </w:pPr>
      <w:r w:rsidRPr="00B94763">
        <w:rPr>
          <w:rFonts w:ascii="Tahoma" w:eastAsia="Arial" w:hAnsi="Tahoma" w:cs="Tahoma"/>
          <w:color w:val="000000"/>
          <w:spacing w:val="-2"/>
          <w:sz w:val="22"/>
          <w:szCs w:val="22"/>
          <w:lang w:eastAsia="en-US"/>
        </w:rPr>
        <w:t xml:space="preserve">This document contains information that is privileged, confidential or otherwise protected from disclosure. It must not be used by, or its contents reproduced or otherwise copied or disclosed without the prior consent in writing from </w:t>
      </w:r>
      <w:r>
        <w:rPr>
          <w:rFonts w:ascii="Tahoma" w:eastAsia="Arial" w:hAnsi="Tahoma" w:cs="Tahoma"/>
          <w:color w:val="000000"/>
          <w:spacing w:val="-2"/>
          <w:sz w:val="22"/>
          <w:szCs w:val="22"/>
          <w:lang w:eastAsia="en-US"/>
        </w:rPr>
        <w:t>The University Medical Practice.</w:t>
      </w:r>
    </w:p>
    <w:p w:rsidR="00B94763" w:rsidRPr="00B94763" w:rsidRDefault="00B94763" w:rsidP="00B94763">
      <w:pPr>
        <w:jc w:val="both"/>
        <w:rPr>
          <w:rFonts w:ascii="Tahoma" w:eastAsia="Arial" w:hAnsi="Tahoma" w:cs="Tahoma"/>
          <w:color w:val="000000"/>
          <w:spacing w:val="-2"/>
          <w:sz w:val="22"/>
          <w:szCs w:val="22"/>
          <w:lang w:eastAsia="en-US"/>
        </w:rPr>
      </w:pPr>
    </w:p>
    <w:p w:rsidR="00B94763" w:rsidRPr="00B94763" w:rsidRDefault="00B94763" w:rsidP="00B94763">
      <w:pPr>
        <w:outlineLvl w:val="2"/>
        <w:rPr>
          <w:rFonts w:ascii="Tahoma" w:eastAsia="Arial" w:hAnsi="Tahoma" w:cs="Tahoma"/>
          <w:b/>
          <w:color w:val="000000"/>
          <w:spacing w:val="-2"/>
          <w:sz w:val="22"/>
          <w:szCs w:val="22"/>
          <w:lang w:eastAsia="en-US"/>
        </w:rPr>
      </w:pPr>
      <w:r w:rsidRPr="00B94763">
        <w:rPr>
          <w:rFonts w:ascii="Tahoma" w:eastAsia="Arial" w:hAnsi="Tahoma" w:cs="Tahoma"/>
          <w:b/>
          <w:color w:val="000000"/>
          <w:spacing w:val="-2"/>
          <w:sz w:val="22"/>
          <w:szCs w:val="22"/>
          <w:lang w:eastAsia="en-US"/>
        </w:rPr>
        <w:t>B.</w:t>
      </w:r>
      <w:r w:rsidRPr="00B94763">
        <w:rPr>
          <w:rFonts w:ascii="Tahoma" w:eastAsia="Arial" w:hAnsi="Tahoma" w:cs="Tahoma"/>
          <w:b/>
          <w:color w:val="000000"/>
          <w:spacing w:val="-2"/>
          <w:sz w:val="22"/>
          <w:szCs w:val="22"/>
          <w:lang w:eastAsia="en-US"/>
        </w:rPr>
        <w:tab/>
        <w:t>Document Details</w:t>
      </w:r>
    </w:p>
    <w:p w:rsidR="00B94763" w:rsidRPr="00B94763" w:rsidRDefault="00B94763" w:rsidP="00B94763">
      <w:pPr>
        <w:rPr>
          <w:rFonts w:ascii="Tahoma" w:eastAsia="Arial" w:hAnsi="Tahoma" w:cs="Tahoma"/>
          <w:b/>
          <w:color w:val="000000"/>
          <w:spacing w:val="-2"/>
          <w:sz w:val="22"/>
          <w:szCs w:val="22"/>
          <w:lang w:eastAsia="en-US"/>
        </w:rPr>
      </w:pPr>
    </w:p>
    <w:tbl>
      <w:tblPr>
        <w:tblW w:w="9588"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shd w:val="clear" w:color="auto" w:fill="D9D9D9"/>
        <w:tblLook w:val="01E0" w:firstRow="1" w:lastRow="1" w:firstColumn="1" w:lastColumn="1" w:noHBand="0" w:noVBand="0"/>
      </w:tblPr>
      <w:tblGrid>
        <w:gridCol w:w="3531"/>
        <w:gridCol w:w="6057"/>
      </w:tblGrid>
      <w:tr w:rsidR="00B94763" w:rsidRPr="00B94763" w:rsidTr="00373307">
        <w:tc>
          <w:tcPr>
            <w:tcW w:w="3531" w:type="dxa"/>
            <w:shd w:val="clear" w:color="auto" w:fill="D9D9D9"/>
          </w:tcPr>
          <w:p w:rsidR="00B94763" w:rsidRPr="00B94763" w:rsidRDefault="00B94763" w:rsidP="00B94763">
            <w:pPr>
              <w:rPr>
                <w:rFonts w:ascii="Tahoma" w:eastAsia="Arial" w:hAnsi="Tahoma" w:cs="Tahoma"/>
                <w:b/>
                <w:caps/>
                <w:color w:val="000000"/>
                <w:spacing w:val="-2"/>
                <w:lang w:eastAsia="en-US"/>
              </w:rPr>
            </w:pPr>
            <w:r w:rsidRPr="00B94763">
              <w:rPr>
                <w:rFonts w:ascii="Tahoma" w:eastAsia="Arial" w:hAnsi="Tahoma" w:cs="Tahoma"/>
                <w:b/>
                <w:color w:val="000000"/>
                <w:spacing w:val="-2"/>
                <w:lang w:eastAsia="en-US"/>
              </w:rPr>
              <w:t>Classification:</w:t>
            </w:r>
          </w:p>
        </w:tc>
        <w:tc>
          <w:tcPr>
            <w:tcW w:w="6057" w:type="dxa"/>
            <w:shd w:val="clear" w:color="auto" w:fill="auto"/>
          </w:tcPr>
          <w:p w:rsidR="00B94763" w:rsidRPr="00B94763" w:rsidRDefault="00C14550" w:rsidP="00B94763">
            <w:pPr>
              <w:rPr>
                <w:rFonts w:ascii="Tahoma" w:eastAsia="Arial" w:hAnsi="Tahoma" w:cs="Tahoma"/>
                <w:color w:val="000000"/>
                <w:spacing w:val="-2"/>
                <w:sz w:val="22"/>
                <w:szCs w:val="22"/>
                <w:lang w:eastAsia="en-US"/>
              </w:rPr>
            </w:pPr>
            <w:r>
              <w:rPr>
                <w:rFonts w:ascii="Tahoma" w:eastAsia="Arial" w:hAnsi="Tahoma" w:cs="Tahoma"/>
                <w:color w:val="000000"/>
                <w:spacing w:val="-2"/>
                <w:sz w:val="22"/>
                <w:szCs w:val="22"/>
                <w:lang w:eastAsia="en-US"/>
              </w:rPr>
              <w:t>Clinical</w:t>
            </w:r>
          </w:p>
        </w:tc>
      </w:tr>
      <w:tr w:rsidR="00B94763" w:rsidRPr="00B94763" w:rsidTr="00373307">
        <w:tc>
          <w:tcPr>
            <w:tcW w:w="3531" w:type="dxa"/>
            <w:shd w:val="clear" w:color="auto" w:fill="D9D9D9"/>
          </w:tcPr>
          <w:p w:rsidR="00B94763" w:rsidRPr="00B94763" w:rsidRDefault="00B94763" w:rsidP="00B94763">
            <w:pPr>
              <w:rPr>
                <w:rFonts w:ascii="Tahoma" w:eastAsia="Arial" w:hAnsi="Tahoma" w:cs="Tahoma"/>
                <w:b/>
                <w:caps/>
                <w:color w:val="000000"/>
                <w:spacing w:val="-2"/>
                <w:lang w:eastAsia="en-US"/>
              </w:rPr>
            </w:pPr>
            <w:r w:rsidRPr="00B94763">
              <w:rPr>
                <w:rFonts w:ascii="Tahoma" w:eastAsia="Arial" w:hAnsi="Tahoma" w:cs="Tahoma"/>
                <w:b/>
                <w:color w:val="000000"/>
                <w:spacing w:val="-2"/>
                <w:lang w:eastAsia="en-US"/>
              </w:rPr>
              <w:t>Author and Role:</w:t>
            </w:r>
          </w:p>
        </w:tc>
        <w:tc>
          <w:tcPr>
            <w:tcW w:w="6057" w:type="dxa"/>
            <w:shd w:val="clear" w:color="auto" w:fill="auto"/>
          </w:tcPr>
          <w:p w:rsidR="00B94763" w:rsidRPr="00B94763" w:rsidRDefault="00512919" w:rsidP="00B94763">
            <w:pPr>
              <w:rPr>
                <w:rFonts w:ascii="Tahoma" w:eastAsia="Arial" w:hAnsi="Tahoma" w:cs="Tahoma"/>
                <w:color w:val="000000"/>
                <w:spacing w:val="-2"/>
                <w:sz w:val="22"/>
                <w:szCs w:val="22"/>
                <w:lang w:eastAsia="en-US"/>
              </w:rPr>
            </w:pPr>
            <w:r>
              <w:rPr>
                <w:rFonts w:ascii="Tahoma" w:eastAsia="Arial" w:hAnsi="Tahoma" w:cs="Tahoma"/>
                <w:color w:val="000000"/>
                <w:spacing w:val="-2"/>
                <w:sz w:val="22"/>
                <w:szCs w:val="22"/>
                <w:lang w:eastAsia="en-US"/>
              </w:rPr>
              <w:t>Sanjiv Basra</w:t>
            </w:r>
          </w:p>
        </w:tc>
      </w:tr>
      <w:tr w:rsidR="00B94763" w:rsidRPr="00B94763" w:rsidTr="00373307">
        <w:tc>
          <w:tcPr>
            <w:tcW w:w="3531" w:type="dxa"/>
            <w:shd w:val="clear" w:color="auto" w:fill="D9D9D9"/>
          </w:tcPr>
          <w:p w:rsidR="00B94763" w:rsidRPr="00B94763" w:rsidRDefault="00B94763" w:rsidP="00B94763">
            <w:pPr>
              <w:rPr>
                <w:rFonts w:ascii="Tahoma" w:eastAsia="Arial" w:hAnsi="Tahoma" w:cs="Tahoma"/>
                <w:b/>
                <w:caps/>
                <w:color w:val="000000"/>
                <w:spacing w:val="-2"/>
                <w:lang w:eastAsia="en-US"/>
              </w:rPr>
            </w:pPr>
            <w:r w:rsidRPr="00B94763">
              <w:rPr>
                <w:rFonts w:ascii="Tahoma" w:eastAsia="Arial" w:hAnsi="Tahoma" w:cs="Tahoma"/>
                <w:b/>
                <w:color w:val="000000"/>
                <w:spacing w:val="-2"/>
                <w:lang w:eastAsia="en-US"/>
              </w:rPr>
              <w:t>Organisation:</w:t>
            </w:r>
          </w:p>
        </w:tc>
        <w:tc>
          <w:tcPr>
            <w:tcW w:w="6057" w:type="dxa"/>
            <w:shd w:val="clear" w:color="auto" w:fill="auto"/>
          </w:tcPr>
          <w:p w:rsidR="00B94763" w:rsidRPr="00B94763" w:rsidRDefault="00B94763" w:rsidP="00B94763">
            <w:pPr>
              <w:rPr>
                <w:rFonts w:ascii="Tahoma" w:eastAsia="Arial" w:hAnsi="Tahoma" w:cs="Tahoma"/>
                <w:color w:val="000000"/>
                <w:spacing w:val="-2"/>
                <w:sz w:val="22"/>
                <w:szCs w:val="22"/>
                <w:lang w:eastAsia="en-US"/>
              </w:rPr>
            </w:pPr>
            <w:r>
              <w:rPr>
                <w:rFonts w:ascii="Tahoma" w:eastAsia="Arial" w:hAnsi="Tahoma" w:cs="Tahoma"/>
                <w:color w:val="000000"/>
                <w:spacing w:val="-2"/>
                <w:sz w:val="22"/>
                <w:szCs w:val="22"/>
                <w:lang w:eastAsia="en-US"/>
              </w:rPr>
              <w:t>The University Medical Practice</w:t>
            </w:r>
          </w:p>
        </w:tc>
      </w:tr>
      <w:tr w:rsidR="00B94763" w:rsidRPr="00B94763" w:rsidTr="00373307">
        <w:tc>
          <w:tcPr>
            <w:tcW w:w="3531" w:type="dxa"/>
            <w:shd w:val="clear" w:color="auto" w:fill="D9D9D9"/>
          </w:tcPr>
          <w:p w:rsidR="00B94763" w:rsidRPr="00B94763" w:rsidRDefault="00B94763" w:rsidP="00B94763">
            <w:pPr>
              <w:rPr>
                <w:rFonts w:ascii="Tahoma" w:eastAsia="Arial" w:hAnsi="Tahoma" w:cs="Tahoma"/>
                <w:b/>
                <w:caps/>
                <w:color w:val="000000"/>
                <w:spacing w:val="-2"/>
                <w:lang w:eastAsia="en-US"/>
              </w:rPr>
            </w:pPr>
            <w:r w:rsidRPr="00B94763">
              <w:rPr>
                <w:rFonts w:ascii="Tahoma" w:eastAsia="Arial" w:hAnsi="Tahoma" w:cs="Tahoma"/>
                <w:b/>
                <w:color w:val="000000"/>
                <w:spacing w:val="-2"/>
                <w:lang w:eastAsia="en-US"/>
              </w:rPr>
              <w:t>Document Reference:</w:t>
            </w:r>
          </w:p>
        </w:tc>
        <w:tc>
          <w:tcPr>
            <w:tcW w:w="6057" w:type="dxa"/>
            <w:shd w:val="clear" w:color="auto" w:fill="auto"/>
          </w:tcPr>
          <w:p w:rsidR="00B94763" w:rsidRPr="00B94763" w:rsidRDefault="00512919" w:rsidP="00B94763">
            <w:pPr>
              <w:rPr>
                <w:rFonts w:ascii="Tahoma" w:eastAsia="Arial" w:hAnsi="Tahoma" w:cs="Tahoma"/>
                <w:color w:val="000000"/>
                <w:spacing w:val="-2"/>
                <w:sz w:val="22"/>
                <w:szCs w:val="22"/>
                <w:lang w:eastAsia="en-US"/>
              </w:rPr>
            </w:pPr>
            <w:r>
              <w:rPr>
                <w:rFonts w:ascii="Tahoma" w:eastAsia="Arial" w:hAnsi="Tahoma" w:cs="Tahoma"/>
                <w:color w:val="000000"/>
                <w:spacing w:val="-2"/>
                <w:sz w:val="22"/>
                <w:szCs w:val="22"/>
                <w:lang w:eastAsia="en-US"/>
              </w:rPr>
              <w:t>Shared Care Prescribing</w:t>
            </w:r>
          </w:p>
        </w:tc>
      </w:tr>
      <w:tr w:rsidR="00B94763" w:rsidRPr="00B94763" w:rsidTr="00373307">
        <w:tc>
          <w:tcPr>
            <w:tcW w:w="3531" w:type="dxa"/>
            <w:shd w:val="clear" w:color="auto" w:fill="D9D9D9"/>
          </w:tcPr>
          <w:p w:rsidR="00B94763" w:rsidRPr="00B94763" w:rsidRDefault="00B94763" w:rsidP="00B94763">
            <w:pPr>
              <w:rPr>
                <w:rFonts w:ascii="Tahoma" w:eastAsia="Arial" w:hAnsi="Tahoma" w:cs="Tahoma"/>
                <w:b/>
                <w:caps/>
                <w:color w:val="000000"/>
                <w:spacing w:val="-2"/>
                <w:lang w:eastAsia="en-US"/>
              </w:rPr>
            </w:pPr>
            <w:r w:rsidRPr="00B94763">
              <w:rPr>
                <w:rFonts w:ascii="Tahoma" w:eastAsia="Arial" w:hAnsi="Tahoma" w:cs="Tahoma"/>
                <w:b/>
                <w:color w:val="000000"/>
                <w:spacing w:val="-2"/>
                <w:lang w:eastAsia="en-US"/>
              </w:rPr>
              <w:t>Current Version Number:</w:t>
            </w:r>
          </w:p>
        </w:tc>
        <w:tc>
          <w:tcPr>
            <w:tcW w:w="6057" w:type="dxa"/>
            <w:shd w:val="clear" w:color="auto" w:fill="auto"/>
          </w:tcPr>
          <w:p w:rsidR="00B94763" w:rsidRPr="00B94763" w:rsidRDefault="009D39EE" w:rsidP="00B94763">
            <w:pPr>
              <w:rPr>
                <w:rFonts w:ascii="Tahoma" w:eastAsia="Arial" w:hAnsi="Tahoma" w:cs="Tahoma"/>
                <w:color w:val="000000"/>
                <w:spacing w:val="-2"/>
                <w:sz w:val="22"/>
                <w:szCs w:val="22"/>
                <w:lang w:eastAsia="en-US"/>
              </w:rPr>
            </w:pPr>
            <w:r>
              <w:rPr>
                <w:rFonts w:ascii="Tahoma" w:eastAsia="Arial" w:hAnsi="Tahoma" w:cs="Tahoma"/>
                <w:color w:val="000000"/>
                <w:spacing w:val="-2"/>
                <w:sz w:val="22"/>
                <w:szCs w:val="22"/>
                <w:lang w:eastAsia="en-US"/>
              </w:rPr>
              <w:t>1</w:t>
            </w:r>
          </w:p>
        </w:tc>
      </w:tr>
      <w:tr w:rsidR="00B94763" w:rsidRPr="00B94763" w:rsidTr="00373307">
        <w:tc>
          <w:tcPr>
            <w:tcW w:w="3531" w:type="dxa"/>
            <w:shd w:val="clear" w:color="auto" w:fill="D9D9D9"/>
          </w:tcPr>
          <w:p w:rsidR="00B94763" w:rsidRPr="00B94763" w:rsidRDefault="00B94763" w:rsidP="00B94763">
            <w:pPr>
              <w:rPr>
                <w:rFonts w:ascii="Tahoma" w:eastAsia="Arial" w:hAnsi="Tahoma" w:cs="Tahoma"/>
                <w:b/>
                <w:caps/>
                <w:color w:val="000000"/>
                <w:spacing w:val="-2"/>
                <w:lang w:eastAsia="en-US"/>
              </w:rPr>
            </w:pPr>
            <w:r w:rsidRPr="00B94763">
              <w:rPr>
                <w:rFonts w:ascii="Tahoma" w:eastAsia="Arial" w:hAnsi="Tahoma" w:cs="Tahoma"/>
                <w:b/>
                <w:color w:val="000000"/>
                <w:spacing w:val="-2"/>
                <w:lang w:eastAsia="en-US"/>
              </w:rPr>
              <w:t>Current Document Approved By:</w:t>
            </w:r>
          </w:p>
        </w:tc>
        <w:tc>
          <w:tcPr>
            <w:tcW w:w="6057" w:type="dxa"/>
            <w:shd w:val="clear" w:color="auto" w:fill="auto"/>
          </w:tcPr>
          <w:p w:rsidR="00B94763" w:rsidRPr="00B94763" w:rsidRDefault="00512919" w:rsidP="00792F58">
            <w:pPr>
              <w:rPr>
                <w:rFonts w:ascii="Tahoma" w:eastAsia="Arial" w:hAnsi="Tahoma" w:cs="Tahoma"/>
                <w:color w:val="000000"/>
                <w:spacing w:val="-2"/>
                <w:sz w:val="22"/>
                <w:szCs w:val="22"/>
                <w:lang w:eastAsia="en-US"/>
              </w:rPr>
            </w:pPr>
            <w:r>
              <w:rPr>
                <w:rFonts w:ascii="Tahoma" w:eastAsia="Arial" w:hAnsi="Tahoma" w:cs="Tahoma"/>
                <w:color w:val="000000"/>
                <w:spacing w:val="-2"/>
                <w:sz w:val="22"/>
                <w:szCs w:val="22"/>
                <w:lang w:eastAsia="en-US"/>
              </w:rPr>
              <w:t>Dr S Basra</w:t>
            </w:r>
          </w:p>
        </w:tc>
      </w:tr>
      <w:tr w:rsidR="00B94763" w:rsidRPr="00B94763" w:rsidTr="00373307">
        <w:tc>
          <w:tcPr>
            <w:tcW w:w="3531" w:type="dxa"/>
            <w:shd w:val="clear" w:color="auto" w:fill="D9D9D9"/>
          </w:tcPr>
          <w:p w:rsidR="00B94763" w:rsidRPr="00B94763" w:rsidRDefault="00B94763" w:rsidP="00B94763">
            <w:pPr>
              <w:rPr>
                <w:rFonts w:ascii="Tahoma" w:eastAsia="Arial" w:hAnsi="Tahoma" w:cs="Tahoma"/>
                <w:b/>
                <w:color w:val="000000"/>
                <w:spacing w:val="-2"/>
                <w:lang w:eastAsia="en-US"/>
              </w:rPr>
            </w:pPr>
            <w:r w:rsidRPr="00B94763">
              <w:rPr>
                <w:rFonts w:ascii="Tahoma" w:eastAsia="Arial" w:hAnsi="Tahoma" w:cs="Tahoma"/>
                <w:b/>
                <w:color w:val="000000"/>
                <w:spacing w:val="-2"/>
                <w:lang w:eastAsia="en-US"/>
              </w:rPr>
              <w:t>Date Approved:</w:t>
            </w:r>
          </w:p>
        </w:tc>
        <w:tc>
          <w:tcPr>
            <w:tcW w:w="6057" w:type="dxa"/>
            <w:shd w:val="clear" w:color="auto" w:fill="auto"/>
          </w:tcPr>
          <w:p w:rsidR="00B94763" w:rsidRPr="00B94763" w:rsidRDefault="00512919" w:rsidP="00B94763">
            <w:pPr>
              <w:rPr>
                <w:rFonts w:ascii="Tahoma" w:eastAsia="Arial" w:hAnsi="Tahoma" w:cs="Tahoma"/>
                <w:color w:val="000000"/>
                <w:spacing w:val="-2"/>
                <w:sz w:val="22"/>
                <w:szCs w:val="22"/>
                <w:lang w:eastAsia="en-US"/>
              </w:rPr>
            </w:pPr>
            <w:r>
              <w:rPr>
                <w:rFonts w:ascii="Tahoma" w:eastAsia="Arial" w:hAnsi="Tahoma" w:cs="Tahoma"/>
                <w:color w:val="000000"/>
                <w:spacing w:val="-2"/>
                <w:sz w:val="22"/>
                <w:szCs w:val="22"/>
                <w:lang w:eastAsia="en-US"/>
              </w:rPr>
              <w:t>Nov 2024</w:t>
            </w:r>
          </w:p>
        </w:tc>
      </w:tr>
    </w:tbl>
    <w:p w:rsidR="00B94763" w:rsidRPr="00B94763" w:rsidRDefault="00B94763" w:rsidP="00B94763">
      <w:pPr>
        <w:rPr>
          <w:rFonts w:ascii="Tahoma" w:eastAsia="Arial" w:hAnsi="Tahoma" w:cs="Tahoma"/>
          <w:color w:val="000000"/>
          <w:spacing w:val="-2"/>
          <w:sz w:val="22"/>
          <w:szCs w:val="22"/>
          <w:lang w:eastAsia="en-US"/>
        </w:rPr>
      </w:pPr>
    </w:p>
    <w:p w:rsidR="00B94763" w:rsidRPr="00B94763" w:rsidRDefault="00B94763" w:rsidP="00B94763">
      <w:pPr>
        <w:outlineLvl w:val="2"/>
        <w:rPr>
          <w:rFonts w:ascii="Tahoma" w:eastAsia="Arial" w:hAnsi="Tahoma" w:cs="Tahoma"/>
          <w:b/>
          <w:color w:val="000000"/>
          <w:spacing w:val="-2"/>
          <w:sz w:val="22"/>
          <w:szCs w:val="22"/>
          <w:lang w:eastAsia="en-US"/>
        </w:rPr>
      </w:pPr>
      <w:r w:rsidRPr="00B94763">
        <w:rPr>
          <w:rFonts w:ascii="Tahoma" w:eastAsia="Arial" w:hAnsi="Tahoma" w:cs="Tahoma"/>
          <w:b/>
          <w:color w:val="000000"/>
          <w:spacing w:val="-2"/>
          <w:sz w:val="22"/>
          <w:szCs w:val="22"/>
          <w:lang w:eastAsia="en-US"/>
        </w:rPr>
        <w:t>C.</w:t>
      </w:r>
      <w:r w:rsidRPr="00B94763">
        <w:rPr>
          <w:rFonts w:ascii="Tahoma" w:eastAsia="Arial" w:hAnsi="Tahoma" w:cs="Tahoma"/>
          <w:b/>
          <w:color w:val="000000"/>
          <w:spacing w:val="-2"/>
          <w:sz w:val="22"/>
          <w:szCs w:val="22"/>
          <w:lang w:eastAsia="en-US"/>
        </w:rPr>
        <w:tab/>
        <w:t>Document Revision and Approval History</w:t>
      </w:r>
    </w:p>
    <w:p w:rsidR="00B94763" w:rsidRPr="00B94763" w:rsidRDefault="00B94763" w:rsidP="00B94763">
      <w:pPr>
        <w:rPr>
          <w:rFonts w:ascii="Tahoma" w:eastAsia="Arial" w:hAnsi="Tahoma" w:cs="Tahoma"/>
          <w:color w:val="000000"/>
          <w:spacing w:val="-2"/>
          <w:sz w:val="22"/>
          <w:szCs w:val="22"/>
          <w:lang w:eastAsia="en-US"/>
        </w:rPr>
      </w:pPr>
    </w:p>
    <w:tbl>
      <w:tblPr>
        <w:tblW w:w="9588"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shd w:val="clear" w:color="auto" w:fill="D9D9D9"/>
        <w:tblLook w:val="01E0" w:firstRow="1" w:lastRow="1" w:firstColumn="1" w:lastColumn="1" w:noHBand="0" w:noVBand="0"/>
      </w:tblPr>
      <w:tblGrid>
        <w:gridCol w:w="1081"/>
        <w:gridCol w:w="1187"/>
        <w:gridCol w:w="2160"/>
        <w:gridCol w:w="2400"/>
        <w:gridCol w:w="2760"/>
      </w:tblGrid>
      <w:tr w:rsidR="00B94763" w:rsidRPr="00B94763" w:rsidTr="00373307">
        <w:tc>
          <w:tcPr>
            <w:tcW w:w="1081" w:type="dxa"/>
            <w:shd w:val="clear" w:color="auto" w:fill="D9D9D9"/>
          </w:tcPr>
          <w:p w:rsidR="00B94763" w:rsidRPr="00B94763" w:rsidRDefault="00B94763" w:rsidP="00B94763">
            <w:pPr>
              <w:jc w:val="center"/>
              <w:rPr>
                <w:rFonts w:ascii="Tahoma" w:eastAsia="Arial" w:hAnsi="Tahoma" w:cs="Tahoma"/>
                <w:b/>
                <w:color w:val="000000"/>
                <w:spacing w:val="-2"/>
                <w:lang w:eastAsia="en-US"/>
              </w:rPr>
            </w:pPr>
            <w:r w:rsidRPr="00B94763">
              <w:rPr>
                <w:rFonts w:ascii="Tahoma" w:eastAsia="Arial" w:hAnsi="Tahoma" w:cs="Tahoma"/>
                <w:b/>
                <w:color w:val="000000"/>
                <w:spacing w:val="-2"/>
                <w:lang w:eastAsia="en-US"/>
              </w:rPr>
              <w:t>Version</w:t>
            </w:r>
          </w:p>
        </w:tc>
        <w:tc>
          <w:tcPr>
            <w:tcW w:w="1187" w:type="dxa"/>
            <w:shd w:val="clear" w:color="auto" w:fill="D9D9D9"/>
          </w:tcPr>
          <w:p w:rsidR="00B94763" w:rsidRPr="00B94763" w:rsidRDefault="00B94763" w:rsidP="00B94763">
            <w:pPr>
              <w:jc w:val="center"/>
              <w:rPr>
                <w:rFonts w:ascii="Tahoma" w:eastAsia="Arial" w:hAnsi="Tahoma" w:cs="Tahoma"/>
                <w:b/>
                <w:color w:val="000000"/>
                <w:spacing w:val="-2"/>
                <w:lang w:eastAsia="en-US"/>
              </w:rPr>
            </w:pPr>
            <w:r w:rsidRPr="00B94763">
              <w:rPr>
                <w:rFonts w:ascii="Tahoma" w:eastAsia="Arial" w:hAnsi="Tahoma" w:cs="Tahoma"/>
                <w:b/>
                <w:color w:val="000000"/>
                <w:spacing w:val="-2"/>
                <w:lang w:eastAsia="en-US"/>
              </w:rPr>
              <w:t>Date</w:t>
            </w:r>
          </w:p>
        </w:tc>
        <w:tc>
          <w:tcPr>
            <w:tcW w:w="2160" w:type="dxa"/>
            <w:shd w:val="clear" w:color="auto" w:fill="D9D9D9"/>
          </w:tcPr>
          <w:p w:rsidR="00B94763" w:rsidRPr="00B94763" w:rsidRDefault="00B94763" w:rsidP="00B94763">
            <w:pPr>
              <w:jc w:val="center"/>
              <w:rPr>
                <w:rFonts w:ascii="Tahoma" w:eastAsia="Arial" w:hAnsi="Tahoma" w:cs="Tahoma"/>
                <w:b/>
                <w:color w:val="000000"/>
                <w:spacing w:val="-2"/>
                <w:lang w:eastAsia="en-US"/>
              </w:rPr>
            </w:pPr>
            <w:r w:rsidRPr="00B94763">
              <w:rPr>
                <w:rFonts w:ascii="Tahoma" w:eastAsia="Arial" w:hAnsi="Tahoma" w:cs="Tahoma"/>
                <w:b/>
                <w:color w:val="000000"/>
                <w:spacing w:val="-2"/>
                <w:lang w:eastAsia="en-US"/>
              </w:rPr>
              <w:t>Version Created By:</w:t>
            </w:r>
          </w:p>
        </w:tc>
        <w:tc>
          <w:tcPr>
            <w:tcW w:w="2400" w:type="dxa"/>
            <w:shd w:val="clear" w:color="auto" w:fill="D9D9D9"/>
          </w:tcPr>
          <w:p w:rsidR="00B94763" w:rsidRPr="00B94763" w:rsidRDefault="00B94763" w:rsidP="00B94763">
            <w:pPr>
              <w:jc w:val="center"/>
              <w:rPr>
                <w:rFonts w:ascii="Tahoma" w:eastAsia="Arial" w:hAnsi="Tahoma" w:cs="Tahoma"/>
                <w:b/>
                <w:color w:val="000000"/>
                <w:spacing w:val="-2"/>
                <w:lang w:eastAsia="en-US"/>
              </w:rPr>
            </w:pPr>
            <w:r w:rsidRPr="00B94763">
              <w:rPr>
                <w:rFonts w:ascii="Tahoma" w:eastAsia="Arial" w:hAnsi="Tahoma" w:cs="Tahoma"/>
                <w:b/>
                <w:color w:val="000000"/>
                <w:spacing w:val="-2"/>
                <w:lang w:eastAsia="en-US"/>
              </w:rPr>
              <w:t>Version Approved By:</w:t>
            </w:r>
          </w:p>
        </w:tc>
        <w:tc>
          <w:tcPr>
            <w:tcW w:w="2760" w:type="dxa"/>
            <w:shd w:val="clear" w:color="auto" w:fill="D9D9D9"/>
          </w:tcPr>
          <w:p w:rsidR="00B94763" w:rsidRPr="00B94763" w:rsidRDefault="00B94763" w:rsidP="00B94763">
            <w:pPr>
              <w:jc w:val="center"/>
              <w:rPr>
                <w:rFonts w:ascii="Tahoma" w:eastAsia="Arial" w:hAnsi="Tahoma" w:cs="Tahoma"/>
                <w:b/>
                <w:color w:val="000000"/>
                <w:spacing w:val="-2"/>
                <w:lang w:eastAsia="en-US"/>
              </w:rPr>
            </w:pPr>
            <w:r w:rsidRPr="00B94763">
              <w:rPr>
                <w:rFonts w:ascii="Tahoma" w:eastAsia="Arial" w:hAnsi="Tahoma" w:cs="Tahoma"/>
                <w:b/>
                <w:color w:val="000000"/>
                <w:spacing w:val="-2"/>
                <w:lang w:eastAsia="en-US"/>
              </w:rPr>
              <w:t>Comments</w:t>
            </w:r>
          </w:p>
        </w:tc>
      </w:tr>
      <w:tr w:rsidR="00B94763" w:rsidRPr="00B94763" w:rsidTr="00373307">
        <w:tc>
          <w:tcPr>
            <w:tcW w:w="1081" w:type="dxa"/>
            <w:shd w:val="clear" w:color="auto" w:fill="auto"/>
          </w:tcPr>
          <w:p w:rsidR="00B94763" w:rsidRPr="00B94763" w:rsidRDefault="00B94763" w:rsidP="00B94763">
            <w:pPr>
              <w:rPr>
                <w:rFonts w:ascii="Tahoma" w:eastAsia="Arial" w:hAnsi="Tahoma" w:cs="Tahoma"/>
                <w:color w:val="000000"/>
                <w:spacing w:val="-2"/>
                <w:sz w:val="22"/>
                <w:szCs w:val="22"/>
                <w:lang w:eastAsia="en-US"/>
              </w:rPr>
            </w:pPr>
          </w:p>
        </w:tc>
        <w:tc>
          <w:tcPr>
            <w:tcW w:w="1187" w:type="dxa"/>
            <w:shd w:val="clear" w:color="auto" w:fill="auto"/>
          </w:tcPr>
          <w:p w:rsidR="00CB5B30" w:rsidRPr="00B94763" w:rsidRDefault="00CB5B30" w:rsidP="00B94763">
            <w:pPr>
              <w:rPr>
                <w:rFonts w:ascii="Tahoma" w:eastAsia="Arial" w:hAnsi="Tahoma" w:cs="Tahoma"/>
                <w:color w:val="000000"/>
                <w:spacing w:val="-2"/>
                <w:sz w:val="22"/>
                <w:szCs w:val="22"/>
                <w:lang w:eastAsia="en-US"/>
              </w:rPr>
            </w:pPr>
          </w:p>
        </w:tc>
        <w:tc>
          <w:tcPr>
            <w:tcW w:w="2160" w:type="dxa"/>
            <w:shd w:val="clear" w:color="auto" w:fill="auto"/>
          </w:tcPr>
          <w:p w:rsidR="00CB5B30" w:rsidRPr="00B94763" w:rsidRDefault="00CB5B30" w:rsidP="00B94763">
            <w:pPr>
              <w:rPr>
                <w:rFonts w:ascii="Tahoma" w:eastAsia="Arial" w:hAnsi="Tahoma" w:cs="Tahoma"/>
                <w:color w:val="000000"/>
                <w:spacing w:val="-2"/>
                <w:sz w:val="22"/>
                <w:szCs w:val="22"/>
                <w:lang w:eastAsia="en-US"/>
              </w:rPr>
            </w:pPr>
          </w:p>
        </w:tc>
        <w:tc>
          <w:tcPr>
            <w:tcW w:w="2400" w:type="dxa"/>
            <w:shd w:val="clear" w:color="auto" w:fill="auto"/>
          </w:tcPr>
          <w:p w:rsidR="00A14F73" w:rsidRPr="00B94763" w:rsidRDefault="00A14F73" w:rsidP="00B94763">
            <w:pPr>
              <w:rPr>
                <w:rFonts w:ascii="Tahoma" w:eastAsia="Arial" w:hAnsi="Tahoma" w:cs="Tahoma"/>
                <w:color w:val="000000"/>
                <w:spacing w:val="-2"/>
                <w:sz w:val="22"/>
                <w:szCs w:val="22"/>
                <w:lang w:eastAsia="en-US"/>
              </w:rPr>
            </w:pPr>
          </w:p>
        </w:tc>
        <w:tc>
          <w:tcPr>
            <w:tcW w:w="2760" w:type="dxa"/>
            <w:shd w:val="clear" w:color="auto" w:fill="auto"/>
          </w:tcPr>
          <w:p w:rsidR="00CB5B30" w:rsidRPr="00B94763" w:rsidRDefault="00CB5B30" w:rsidP="00B94763">
            <w:pPr>
              <w:rPr>
                <w:rFonts w:ascii="Tahoma" w:eastAsia="Arial" w:hAnsi="Tahoma" w:cs="Tahoma"/>
                <w:color w:val="000000"/>
                <w:spacing w:val="-2"/>
                <w:sz w:val="22"/>
                <w:szCs w:val="22"/>
                <w:lang w:eastAsia="en-US"/>
              </w:rPr>
            </w:pPr>
          </w:p>
        </w:tc>
      </w:tr>
    </w:tbl>
    <w:p w:rsidR="00B94763" w:rsidRDefault="00B94763" w:rsidP="002A39BF">
      <w:pPr>
        <w:tabs>
          <w:tab w:val="left" w:pos="270"/>
          <w:tab w:val="left" w:pos="1890"/>
          <w:tab w:val="right" w:pos="9450"/>
        </w:tabs>
        <w:ind w:left="-284"/>
        <w:jc w:val="both"/>
        <w:rPr>
          <w:rFonts w:ascii="Lucida Sans Unicode" w:hAnsi="Lucida Sans Unicode" w:cs="Lucida Sans Unicode"/>
          <w:b/>
          <w:sz w:val="16"/>
          <w:szCs w:val="16"/>
          <w:lang w:eastAsia="en-US"/>
        </w:rPr>
      </w:pPr>
    </w:p>
    <w:p w:rsidR="002011E2" w:rsidRPr="002011E2" w:rsidRDefault="002011E2" w:rsidP="002011E2">
      <w:pPr>
        <w:shd w:val="clear" w:color="auto" w:fill="F9F9FA"/>
        <w:spacing w:after="150"/>
        <w:rPr>
          <w:color w:val="2C3E50"/>
          <w:sz w:val="22"/>
          <w:szCs w:val="22"/>
        </w:rPr>
      </w:pPr>
      <w:r>
        <w:rPr>
          <w:color w:val="2C3E50"/>
          <w:sz w:val="22"/>
          <w:szCs w:val="22"/>
        </w:rPr>
        <w:t>Shared Care Prescribing is</w:t>
      </w:r>
      <w:r w:rsidRPr="002011E2">
        <w:rPr>
          <w:color w:val="2C3E50"/>
          <w:sz w:val="22"/>
          <w:szCs w:val="22"/>
        </w:rPr>
        <w:t xml:space="preserve"> an NHS service where specialists ask GPs if they are willing to agree to share the responsibility of prescribing and monitoring of specialist medication. For any prescriber, entering into any shared care arrangement has implications around governance and quality assurance.</w:t>
      </w:r>
    </w:p>
    <w:p w:rsidR="002011E2" w:rsidRPr="002011E2" w:rsidRDefault="002011E2" w:rsidP="002011E2">
      <w:pPr>
        <w:shd w:val="clear" w:color="auto" w:fill="F9F9FA"/>
        <w:spacing w:after="150"/>
        <w:rPr>
          <w:color w:val="2C3E50"/>
          <w:sz w:val="22"/>
          <w:szCs w:val="22"/>
          <w:u w:val="single"/>
        </w:rPr>
      </w:pPr>
      <w:r w:rsidRPr="002011E2">
        <w:rPr>
          <w:sz w:val="22"/>
          <w:szCs w:val="22"/>
          <w:u w:val="single"/>
        </w:rPr>
        <w:t>NHS shared care</w:t>
      </w:r>
    </w:p>
    <w:p w:rsidR="002011E2" w:rsidRPr="002011E2" w:rsidRDefault="002011E2" w:rsidP="002011E2">
      <w:pPr>
        <w:shd w:val="clear" w:color="auto" w:fill="F9F9FA"/>
        <w:spacing w:after="150"/>
        <w:rPr>
          <w:color w:val="2C3E50"/>
          <w:sz w:val="22"/>
          <w:szCs w:val="22"/>
        </w:rPr>
      </w:pPr>
      <w:r w:rsidRPr="002011E2">
        <w:rPr>
          <w:color w:val="2C3E50"/>
          <w:sz w:val="22"/>
          <w:szCs w:val="22"/>
        </w:rPr>
        <w:t>GPs can enter into shared care prescribing agreements with services commissioned by the NHS. There are local policies for this, agreed between specialists and GPs.</w:t>
      </w:r>
    </w:p>
    <w:p w:rsidR="002011E2" w:rsidRPr="002011E2" w:rsidRDefault="002011E2" w:rsidP="002011E2">
      <w:pPr>
        <w:shd w:val="clear" w:color="auto" w:fill="F9F9FA"/>
        <w:spacing w:after="150"/>
        <w:rPr>
          <w:color w:val="2C3E50"/>
          <w:sz w:val="22"/>
          <w:szCs w:val="22"/>
        </w:rPr>
      </w:pPr>
      <w:r w:rsidRPr="002011E2">
        <w:rPr>
          <w:color w:val="2C3E50"/>
          <w:sz w:val="22"/>
          <w:szCs w:val="22"/>
        </w:rPr>
        <w:t>The NHS specialist ensures that the patient is properly started and stabilised on the medication, before asking for the GP to take over prescribing responsibility. There is a system in place to ensure that the patient continues to get specialist reviews in the hospital, and the GP is able to get advice as needed.</w:t>
      </w:r>
    </w:p>
    <w:p w:rsidR="002011E2" w:rsidRPr="002011E2" w:rsidRDefault="002011E2" w:rsidP="002011E2">
      <w:pPr>
        <w:shd w:val="clear" w:color="auto" w:fill="F9F9FA"/>
        <w:spacing w:after="150"/>
        <w:rPr>
          <w:color w:val="2C3E50"/>
          <w:sz w:val="22"/>
          <w:szCs w:val="22"/>
        </w:rPr>
      </w:pPr>
      <w:r w:rsidRPr="002011E2">
        <w:rPr>
          <w:color w:val="2C3E50"/>
          <w:sz w:val="22"/>
          <w:szCs w:val="22"/>
        </w:rPr>
        <w:t>Common health conditions where shared care prescribing is used include rheumatoid arthritis, ADHD, inflammatory eye disease, gender dysphoria, Parkinson’s disease and IBD.</w:t>
      </w:r>
    </w:p>
    <w:p w:rsidR="002011E2" w:rsidRPr="002011E2" w:rsidRDefault="002011E2" w:rsidP="002011E2">
      <w:pPr>
        <w:shd w:val="clear" w:color="auto" w:fill="F9F9FA"/>
        <w:spacing w:after="150"/>
        <w:rPr>
          <w:sz w:val="22"/>
          <w:szCs w:val="22"/>
          <w:u w:val="single"/>
        </w:rPr>
      </w:pPr>
      <w:r w:rsidRPr="002011E2">
        <w:rPr>
          <w:sz w:val="22"/>
          <w:szCs w:val="22"/>
          <w:u w:val="single"/>
        </w:rPr>
        <w:t>Private providers</w:t>
      </w:r>
    </w:p>
    <w:p w:rsidR="002011E2" w:rsidRPr="002011E2" w:rsidRDefault="002011E2" w:rsidP="002011E2">
      <w:pPr>
        <w:shd w:val="clear" w:color="auto" w:fill="F9F9FA"/>
        <w:spacing w:after="150"/>
        <w:rPr>
          <w:color w:val="2C3E50"/>
          <w:sz w:val="22"/>
          <w:szCs w:val="22"/>
        </w:rPr>
      </w:pPr>
      <w:r w:rsidRPr="002011E2">
        <w:rPr>
          <w:color w:val="2C3E50"/>
          <w:sz w:val="22"/>
          <w:szCs w:val="22"/>
        </w:rPr>
        <w:t>There has been a significant in</w:t>
      </w:r>
      <w:r>
        <w:rPr>
          <w:color w:val="2C3E50"/>
          <w:sz w:val="22"/>
          <w:szCs w:val="22"/>
        </w:rPr>
        <w:t>crease in patients seeking</w:t>
      </w:r>
      <w:r w:rsidRPr="002011E2">
        <w:rPr>
          <w:color w:val="2C3E50"/>
          <w:sz w:val="22"/>
          <w:szCs w:val="22"/>
        </w:rPr>
        <w:t xml:space="preserve"> </w:t>
      </w:r>
      <w:r>
        <w:rPr>
          <w:color w:val="2C3E50"/>
          <w:sz w:val="22"/>
          <w:szCs w:val="22"/>
        </w:rPr>
        <w:t xml:space="preserve">opinions and initial diagnoses </w:t>
      </w:r>
      <w:r w:rsidRPr="002011E2">
        <w:rPr>
          <w:color w:val="2C3E50"/>
          <w:sz w:val="22"/>
          <w:szCs w:val="22"/>
        </w:rPr>
        <w:t xml:space="preserve">privately, and then asking the GP to prescribe specialist medication as an NHS prescription on behalf of the private provider. This is not the same as NHS </w:t>
      </w:r>
      <w:r w:rsidR="00B3643E">
        <w:rPr>
          <w:color w:val="2C3E50"/>
          <w:sz w:val="22"/>
          <w:szCs w:val="22"/>
        </w:rPr>
        <w:t>shared care. We cannot issue</w:t>
      </w:r>
      <w:bookmarkStart w:id="0" w:name="_GoBack"/>
      <w:bookmarkEnd w:id="0"/>
      <w:r w:rsidRPr="002011E2">
        <w:rPr>
          <w:color w:val="2C3E50"/>
          <w:sz w:val="22"/>
          <w:szCs w:val="22"/>
        </w:rPr>
        <w:t xml:space="preserve"> specialist medication prescriptions on </w:t>
      </w:r>
      <w:r w:rsidRPr="002011E2">
        <w:rPr>
          <w:color w:val="2C3E50"/>
          <w:sz w:val="22"/>
          <w:szCs w:val="22"/>
        </w:rPr>
        <w:lastRenderedPageBreak/>
        <w:t xml:space="preserve">behalf of private specialists. You will need to obtain your prescription from your </w:t>
      </w:r>
      <w:r>
        <w:rPr>
          <w:color w:val="2C3E50"/>
          <w:sz w:val="22"/>
          <w:szCs w:val="22"/>
        </w:rPr>
        <w:t>specialist, if this is deemed necessary by them.</w:t>
      </w:r>
    </w:p>
    <w:p w:rsidR="002011E2" w:rsidRPr="002011E2" w:rsidRDefault="002011E2" w:rsidP="002011E2">
      <w:pPr>
        <w:shd w:val="clear" w:color="auto" w:fill="F9F9FA"/>
        <w:spacing w:before="300" w:after="150"/>
        <w:outlineLvl w:val="1"/>
        <w:rPr>
          <w:sz w:val="22"/>
          <w:szCs w:val="22"/>
          <w:u w:val="single"/>
        </w:rPr>
      </w:pPr>
      <w:r w:rsidRPr="002011E2">
        <w:rPr>
          <w:sz w:val="22"/>
          <w:szCs w:val="22"/>
          <w:u w:val="single"/>
        </w:rPr>
        <w:t>Patient safety</w:t>
      </w:r>
    </w:p>
    <w:p w:rsidR="002011E2" w:rsidRPr="002011E2" w:rsidRDefault="002011E2" w:rsidP="002011E2">
      <w:pPr>
        <w:shd w:val="clear" w:color="auto" w:fill="F9F9FA"/>
        <w:spacing w:after="150"/>
        <w:rPr>
          <w:color w:val="2C3E50"/>
          <w:sz w:val="22"/>
          <w:szCs w:val="22"/>
        </w:rPr>
      </w:pPr>
      <w:r w:rsidRPr="002011E2">
        <w:rPr>
          <w:color w:val="2C3E50"/>
          <w:sz w:val="22"/>
          <w:szCs w:val="22"/>
        </w:rPr>
        <w:t>Private providers may not adhere to the same safety standards as NHS providers. Patient safety is our priority, and we need to be as certain as we can that we are prescribing safely.</w:t>
      </w:r>
    </w:p>
    <w:p w:rsidR="002011E2" w:rsidRPr="002011E2" w:rsidRDefault="002011E2" w:rsidP="002011E2">
      <w:pPr>
        <w:shd w:val="clear" w:color="auto" w:fill="F9F9FA"/>
        <w:spacing w:after="150"/>
        <w:rPr>
          <w:color w:val="2C3E50"/>
          <w:sz w:val="22"/>
          <w:szCs w:val="22"/>
        </w:rPr>
      </w:pPr>
      <w:r w:rsidRPr="002011E2">
        <w:rPr>
          <w:color w:val="2C3E50"/>
          <w:sz w:val="22"/>
          <w:szCs w:val="22"/>
        </w:rPr>
        <w:t>Problems often arise when patients no longer pay to see the private specialist, leaving the GP to prescribe the medication without access to any specialist input. This is risky for patients a</w:t>
      </w:r>
      <w:r>
        <w:rPr>
          <w:color w:val="2C3E50"/>
          <w:sz w:val="22"/>
          <w:szCs w:val="22"/>
        </w:rPr>
        <w:t>nd GPs are not insured for this.</w:t>
      </w:r>
    </w:p>
    <w:p w:rsidR="002011E2" w:rsidRPr="002011E2" w:rsidRDefault="002011E2" w:rsidP="002011E2">
      <w:pPr>
        <w:shd w:val="clear" w:color="auto" w:fill="F9F9FA"/>
        <w:spacing w:before="300" w:after="150"/>
        <w:outlineLvl w:val="1"/>
        <w:rPr>
          <w:sz w:val="22"/>
          <w:szCs w:val="22"/>
          <w:u w:val="single"/>
        </w:rPr>
      </w:pPr>
      <w:r w:rsidRPr="002011E2">
        <w:rPr>
          <w:sz w:val="22"/>
          <w:szCs w:val="22"/>
          <w:u w:val="single"/>
        </w:rPr>
        <w:t>Commissioning</w:t>
      </w:r>
    </w:p>
    <w:p w:rsidR="002011E2" w:rsidRPr="002011E2" w:rsidRDefault="002011E2" w:rsidP="002011E2">
      <w:pPr>
        <w:shd w:val="clear" w:color="auto" w:fill="F9F9FA"/>
        <w:spacing w:after="150"/>
        <w:rPr>
          <w:color w:val="2C3E50"/>
          <w:sz w:val="22"/>
          <w:szCs w:val="22"/>
        </w:rPr>
      </w:pPr>
      <w:r w:rsidRPr="002011E2">
        <w:rPr>
          <w:color w:val="2C3E50"/>
          <w:sz w:val="22"/>
          <w:szCs w:val="22"/>
        </w:rPr>
        <w:t>GPs are not funded to carry out non-NHS work. Undertaking significant amounts of private work can lead to GPs subsidising the cost of private healthcare. At a time of ever increasing demands on primary care, this takes away significant resources from other patients, and promotes health inequality.</w:t>
      </w:r>
    </w:p>
    <w:p w:rsidR="002011E2" w:rsidRPr="002011E2" w:rsidRDefault="002011E2" w:rsidP="002011E2">
      <w:pPr>
        <w:shd w:val="clear" w:color="auto" w:fill="F9F9FA"/>
        <w:spacing w:before="300" w:after="150"/>
        <w:outlineLvl w:val="1"/>
        <w:rPr>
          <w:sz w:val="22"/>
          <w:szCs w:val="22"/>
          <w:u w:val="single"/>
        </w:rPr>
      </w:pPr>
      <w:r w:rsidRPr="002011E2">
        <w:rPr>
          <w:sz w:val="22"/>
          <w:szCs w:val="22"/>
          <w:u w:val="single"/>
        </w:rPr>
        <w:t>British Medical Association</w:t>
      </w:r>
      <w:r>
        <w:rPr>
          <w:sz w:val="22"/>
          <w:szCs w:val="22"/>
          <w:u w:val="single"/>
        </w:rPr>
        <w:t xml:space="preserve"> (BMA)</w:t>
      </w:r>
      <w:r w:rsidRPr="002011E2">
        <w:rPr>
          <w:sz w:val="22"/>
          <w:szCs w:val="22"/>
          <w:u w:val="single"/>
        </w:rPr>
        <w:t xml:space="preserve"> Guidance</w:t>
      </w:r>
    </w:p>
    <w:p w:rsidR="002011E2" w:rsidRPr="002011E2" w:rsidRDefault="002011E2" w:rsidP="002011E2">
      <w:pPr>
        <w:shd w:val="clear" w:color="auto" w:fill="F9F9FA"/>
        <w:spacing w:after="150"/>
        <w:rPr>
          <w:color w:val="2C3E50"/>
          <w:sz w:val="22"/>
          <w:szCs w:val="22"/>
        </w:rPr>
      </w:pPr>
      <w:r w:rsidRPr="002011E2">
        <w:rPr>
          <w:color w:val="2C3E50"/>
          <w:sz w:val="22"/>
          <w:szCs w:val="22"/>
        </w:rPr>
        <w:t>The BMA has clear guidance on responding to private healthcare, which can be seen </w:t>
      </w:r>
      <w:hyperlink r:id="rId7" w:history="1">
        <w:r w:rsidRPr="002011E2">
          <w:rPr>
            <w:b/>
            <w:bCs/>
            <w:color w:val="0000FF"/>
            <w:sz w:val="22"/>
            <w:szCs w:val="22"/>
            <w:u w:val="single"/>
          </w:rPr>
          <w:t>here</w:t>
        </w:r>
      </w:hyperlink>
      <w:r w:rsidRPr="002011E2">
        <w:rPr>
          <w:color w:val="2C3E50"/>
          <w:sz w:val="22"/>
          <w:szCs w:val="22"/>
        </w:rPr>
        <w:t xml:space="preserve">. Therefore, we are </w:t>
      </w:r>
      <w:r>
        <w:rPr>
          <w:color w:val="2C3E50"/>
          <w:sz w:val="22"/>
          <w:szCs w:val="22"/>
        </w:rPr>
        <w:t>un</w:t>
      </w:r>
      <w:r w:rsidRPr="002011E2">
        <w:rPr>
          <w:color w:val="2C3E50"/>
          <w:sz w:val="22"/>
          <w:szCs w:val="22"/>
        </w:rPr>
        <w:t>able to prescribe new specialist medication on behalf of private services. </w:t>
      </w:r>
    </w:p>
    <w:p w:rsidR="002011E2" w:rsidRPr="002011E2" w:rsidRDefault="002011E2" w:rsidP="002011E2">
      <w:pPr>
        <w:shd w:val="clear" w:color="auto" w:fill="F9F9FA"/>
        <w:spacing w:before="300" w:after="150"/>
        <w:outlineLvl w:val="1"/>
        <w:rPr>
          <w:sz w:val="22"/>
          <w:szCs w:val="22"/>
          <w:u w:val="single"/>
        </w:rPr>
      </w:pPr>
      <w:r w:rsidRPr="002011E2">
        <w:rPr>
          <w:sz w:val="22"/>
          <w:szCs w:val="22"/>
          <w:u w:val="single"/>
        </w:rPr>
        <w:t>Summary </w:t>
      </w:r>
    </w:p>
    <w:p w:rsidR="002011E2" w:rsidRPr="002011E2" w:rsidRDefault="002011E2" w:rsidP="002011E2">
      <w:pPr>
        <w:shd w:val="clear" w:color="auto" w:fill="F9F9FA"/>
        <w:spacing w:after="150"/>
        <w:rPr>
          <w:color w:val="2C3E50"/>
          <w:sz w:val="22"/>
          <w:szCs w:val="22"/>
        </w:rPr>
      </w:pPr>
      <w:r w:rsidRPr="002011E2">
        <w:rPr>
          <w:color w:val="2C3E50"/>
          <w:sz w:val="22"/>
          <w:szCs w:val="22"/>
        </w:rPr>
        <w:t xml:space="preserve">This </w:t>
      </w:r>
      <w:r>
        <w:rPr>
          <w:color w:val="2C3E50"/>
          <w:sz w:val="22"/>
          <w:szCs w:val="22"/>
        </w:rPr>
        <w:t>policy does not</w:t>
      </w:r>
      <w:r w:rsidRPr="002011E2">
        <w:rPr>
          <w:color w:val="2C3E50"/>
          <w:sz w:val="22"/>
          <w:szCs w:val="22"/>
        </w:rPr>
        <w:t xml:space="preserve"> effect NHS shared care prescribing. We will continue to prescribe where we have already accepted shared care, so long as patients remain under specialist review. </w:t>
      </w:r>
    </w:p>
    <w:p w:rsidR="002011E2" w:rsidRPr="002011E2" w:rsidRDefault="002011E2" w:rsidP="002011E2">
      <w:pPr>
        <w:shd w:val="clear" w:color="auto" w:fill="F9F9FA"/>
        <w:spacing w:after="150"/>
        <w:rPr>
          <w:color w:val="2C3E50"/>
          <w:sz w:val="22"/>
          <w:szCs w:val="22"/>
        </w:rPr>
      </w:pPr>
      <w:r w:rsidRPr="002011E2">
        <w:rPr>
          <w:color w:val="2C3E50"/>
          <w:sz w:val="22"/>
          <w:szCs w:val="22"/>
        </w:rPr>
        <w:t>The private clinic will remain responsible for prescribing the medication for you and making sure it is safely monitored. </w:t>
      </w:r>
    </w:p>
    <w:p w:rsidR="002011E2" w:rsidRPr="002011E2" w:rsidRDefault="002011E2" w:rsidP="002011E2">
      <w:pPr>
        <w:shd w:val="clear" w:color="auto" w:fill="F9F9FA"/>
        <w:spacing w:after="150"/>
        <w:rPr>
          <w:color w:val="2C3E50"/>
          <w:sz w:val="22"/>
          <w:szCs w:val="22"/>
        </w:rPr>
      </w:pPr>
      <w:r w:rsidRPr="002011E2">
        <w:rPr>
          <w:color w:val="2C3E50"/>
          <w:sz w:val="22"/>
          <w:szCs w:val="22"/>
        </w:rPr>
        <w:t>We can refer you to NHS services and will be able to enter into shared care prescribing with them, once an appropriate agreement is in place.</w:t>
      </w:r>
    </w:p>
    <w:p w:rsidR="00160A11" w:rsidRPr="002011E2" w:rsidRDefault="002011E2" w:rsidP="002011E2">
      <w:pPr>
        <w:shd w:val="clear" w:color="auto" w:fill="F9F9FA"/>
        <w:spacing w:after="150"/>
        <w:rPr>
          <w:color w:val="2C3E50"/>
          <w:sz w:val="22"/>
          <w:szCs w:val="22"/>
        </w:rPr>
      </w:pPr>
      <w:r w:rsidRPr="002011E2">
        <w:rPr>
          <w:color w:val="2C3E50"/>
          <w:sz w:val="22"/>
          <w:szCs w:val="22"/>
        </w:rPr>
        <w:t>This will apply to specialist prescribing on behalf of all private providers and for all patient groups / health conditions.</w:t>
      </w:r>
    </w:p>
    <w:p w:rsidR="002011E2" w:rsidRPr="00160A11" w:rsidRDefault="002011E2" w:rsidP="002011E2">
      <w:pPr>
        <w:spacing w:after="120" w:line="276" w:lineRule="auto"/>
        <w:jc w:val="both"/>
        <w:rPr>
          <w:rFonts w:ascii="Tahoma" w:eastAsia="Arial" w:hAnsi="Tahoma" w:cs="Tahoma"/>
          <w:color w:val="000000"/>
          <w:spacing w:val="-2"/>
          <w:sz w:val="22"/>
          <w:szCs w:val="22"/>
          <w:lang w:eastAsia="en-US"/>
        </w:rPr>
      </w:pPr>
    </w:p>
    <w:sectPr w:rsidR="002011E2" w:rsidRPr="00160A11" w:rsidSect="00B94763">
      <w:footerReference w:type="default" r:id="rId8"/>
      <w:pgSz w:w="11906" w:h="16838"/>
      <w:pgMar w:top="567" w:right="1008" w:bottom="709" w:left="1440" w:header="706" w:footer="5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0A11" w:rsidRDefault="00160A11">
      <w:r>
        <w:separator/>
      </w:r>
    </w:p>
  </w:endnote>
  <w:endnote w:type="continuationSeparator" w:id="0">
    <w:p w:rsidR="00160A11" w:rsidRDefault="00160A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0A11" w:rsidRDefault="00B4652A" w:rsidP="0024078E">
    <w:pPr>
      <w:tabs>
        <w:tab w:val="center" w:pos="4513"/>
      </w:tabs>
      <w:spacing w:after="200" w:line="276" w:lineRule="auto"/>
      <w:ind w:left="-426" w:right="-40"/>
      <w:jc w:val="center"/>
      <w:rPr>
        <w:rFonts w:ascii="Lucida Sans Unicode" w:hAnsi="Lucida Sans Unicode" w:cs="Lucida Sans Unicode"/>
        <w:sz w:val="16"/>
        <w:szCs w:val="16"/>
      </w:rPr>
    </w:pPr>
    <w:r>
      <w:rPr>
        <w:rFonts w:ascii="Tahoma" w:eastAsia="Calibri" w:hAnsi="Tahoma" w:cs="Tahoma"/>
        <w:sz w:val="16"/>
        <w:szCs w:val="16"/>
        <w:lang w:eastAsia="en-US"/>
      </w:rPr>
      <w:t>Policy Responsibility</w:t>
    </w:r>
    <w:r w:rsidR="00160A11">
      <w:rPr>
        <w:rFonts w:ascii="Tahoma" w:eastAsia="Calibri" w:hAnsi="Tahoma" w:cs="Tahoma"/>
        <w:sz w:val="16"/>
        <w:szCs w:val="16"/>
        <w:lang w:eastAsia="en-US"/>
      </w:rPr>
      <w:t xml:space="preserve">: </w:t>
    </w:r>
    <w:r w:rsidR="00A14F73">
      <w:rPr>
        <w:rFonts w:ascii="Tahoma" w:eastAsia="Calibri" w:hAnsi="Tahoma" w:cs="Tahoma"/>
        <w:sz w:val="16"/>
        <w:szCs w:val="16"/>
        <w:lang w:eastAsia="en-US"/>
      </w:rPr>
      <w:t xml:space="preserve">Reviewed: Dr </w:t>
    </w:r>
    <w:r w:rsidR="002011E2">
      <w:rPr>
        <w:rFonts w:ascii="Tahoma" w:eastAsia="Calibri" w:hAnsi="Tahoma" w:cs="Tahoma"/>
        <w:sz w:val="16"/>
        <w:szCs w:val="16"/>
        <w:lang w:eastAsia="en-US"/>
      </w:rPr>
      <w:t>S Basra Nov</w:t>
    </w:r>
    <w:r w:rsidR="00E725C8">
      <w:rPr>
        <w:rFonts w:ascii="Tahoma" w:eastAsia="Calibri" w:hAnsi="Tahoma" w:cs="Tahoma"/>
        <w:sz w:val="16"/>
        <w:szCs w:val="16"/>
        <w:lang w:eastAsia="en-US"/>
      </w:rPr>
      <w:t xml:space="preserve"> 202</w:t>
    </w:r>
    <w:r w:rsidR="00A14F73">
      <w:rPr>
        <w:rFonts w:ascii="Tahoma" w:eastAsia="Calibri" w:hAnsi="Tahoma" w:cs="Tahoma"/>
        <w:sz w:val="16"/>
        <w:szCs w:val="16"/>
        <w:lang w:eastAsia="en-US"/>
      </w:rPr>
      <w:t>4</w:t>
    </w:r>
    <w:r w:rsidR="00160A11" w:rsidRPr="0024078E">
      <w:rPr>
        <w:rFonts w:ascii="Tahoma" w:eastAsia="Calibri" w:hAnsi="Tahoma" w:cs="Tahoma"/>
        <w:sz w:val="16"/>
        <w:szCs w:val="16"/>
        <w:lang w:eastAsia="en-US"/>
      </w:rPr>
      <w:t>.  Due For Review :</w:t>
    </w:r>
    <w:r w:rsidR="00160A11">
      <w:rPr>
        <w:rFonts w:ascii="Tahoma" w:eastAsia="Calibri" w:hAnsi="Tahoma" w:cs="Tahoma"/>
        <w:sz w:val="16"/>
        <w:szCs w:val="16"/>
        <w:lang w:eastAsia="en-US"/>
      </w:rPr>
      <w:t xml:space="preserve"> </w:t>
    </w:r>
    <w:r w:rsidR="002011E2">
      <w:rPr>
        <w:rFonts w:ascii="Tahoma" w:eastAsia="Calibri" w:hAnsi="Tahoma" w:cs="Tahoma"/>
        <w:sz w:val="16"/>
        <w:szCs w:val="16"/>
        <w:lang w:eastAsia="en-US"/>
      </w:rPr>
      <w:t>Nov</w:t>
    </w:r>
    <w:r w:rsidR="00E725C8">
      <w:rPr>
        <w:rFonts w:ascii="Tahoma" w:eastAsia="Calibri" w:hAnsi="Tahoma" w:cs="Tahoma"/>
        <w:sz w:val="16"/>
        <w:szCs w:val="16"/>
        <w:lang w:eastAsia="en-US"/>
      </w:rPr>
      <w:t xml:space="preserve"> 202</w:t>
    </w:r>
    <w:r w:rsidR="00A14F73">
      <w:rPr>
        <w:rFonts w:ascii="Tahoma" w:eastAsia="Calibri" w:hAnsi="Tahoma" w:cs="Tahoma"/>
        <w:sz w:val="16"/>
        <w:szCs w:val="16"/>
        <w:lang w:eastAsia="en-US"/>
      </w:rPr>
      <w:t>5</w:t>
    </w:r>
    <w:r w:rsidR="00160A11" w:rsidRPr="0024078E">
      <w:rPr>
        <w:rFonts w:ascii="Tahoma" w:eastAsia="Calibri" w:hAnsi="Tahoma" w:cs="Tahoma"/>
        <w:sz w:val="16"/>
        <w:szCs w:val="16"/>
        <w:lang w:eastAsia="en-US"/>
      </w:rPr>
      <w:t xml:space="preserve">.  Situated : </w:t>
    </w:r>
    <w:r w:rsidR="00160A11">
      <w:rPr>
        <w:rFonts w:ascii="Tahoma" w:eastAsia="Calibri" w:hAnsi="Tahoma" w:cs="Tahoma"/>
        <w:sz w:val="16"/>
        <w:szCs w:val="16"/>
        <w:lang w:eastAsia="en-US"/>
      </w:rPr>
      <w:t xml:space="preserve">“N” Drive &amp; </w:t>
    </w:r>
    <w:r w:rsidR="00160A11" w:rsidRPr="0024078E">
      <w:rPr>
        <w:rFonts w:ascii="Tahoma" w:eastAsia="Calibri" w:hAnsi="Tahoma" w:cs="Tahoma"/>
        <w:sz w:val="16"/>
        <w:szCs w:val="16"/>
        <w:lang w:eastAsia="en-US"/>
      </w:rPr>
      <w:t>Non-Clinical File</w:t>
    </w:r>
    <w:r w:rsidR="00160A11">
      <w:rPr>
        <w:rFonts w:ascii="Tahoma" w:eastAsia="Calibri" w:hAnsi="Tahoma" w:cs="Tahoma"/>
        <w:sz w:val="16"/>
        <w:szCs w:val="16"/>
        <w:lang w:eastAsia="en-US"/>
      </w:rPr>
      <w:t xml:space="preserve"> - </w:t>
    </w:r>
    <w:r w:rsidR="00160A11" w:rsidRPr="0024078E">
      <w:rPr>
        <w:rFonts w:ascii="Tahoma" w:eastAsia="Calibri" w:hAnsi="Tahoma" w:cs="Tahoma"/>
        <w:sz w:val="16"/>
        <w:szCs w:val="16"/>
        <w:lang w:eastAsia="en-US"/>
      </w:rPr>
      <w:t xml:space="preserve"> Reception                 </w:t>
    </w:r>
    <w:r w:rsidR="00160A11" w:rsidRPr="0024078E">
      <w:rPr>
        <w:rFonts w:ascii="Lucida Sans Unicode" w:hAnsi="Lucida Sans Unicode" w:cs="Lucida Sans Unicode"/>
        <w:sz w:val="16"/>
        <w:szCs w:val="16"/>
      </w:rPr>
      <w:t>5</w:t>
    </w:r>
    <w:r w:rsidR="00160A11">
      <w:rPr>
        <w:rFonts w:ascii="Lucida Sans Unicode" w:hAnsi="Lucida Sans Unicode" w:cs="Lucida Sans Unicode"/>
        <w:sz w:val="16"/>
        <w:szCs w:val="16"/>
      </w:rPr>
      <w:t>,</w:t>
    </w:r>
    <w:r w:rsidR="00160A11" w:rsidRPr="0024078E">
      <w:rPr>
        <w:rFonts w:ascii="Lucida Sans Unicode" w:hAnsi="Lucida Sans Unicode" w:cs="Lucida Sans Unicode"/>
        <w:sz w:val="16"/>
        <w:szCs w:val="16"/>
      </w:rPr>
      <w:t xml:space="preserve"> Pritchatts Road</w:t>
    </w:r>
    <w:r w:rsidR="00160A11">
      <w:rPr>
        <w:rFonts w:ascii="Lucida Sans Unicode" w:hAnsi="Lucida Sans Unicode" w:cs="Lucida Sans Unicode"/>
        <w:sz w:val="16"/>
        <w:szCs w:val="16"/>
      </w:rPr>
      <w:t>,</w:t>
    </w:r>
    <w:r w:rsidR="00160A11" w:rsidRPr="0024078E">
      <w:rPr>
        <w:rFonts w:ascii="Lucida Sans Unicode" w:hAnsi="Lucida Sans Unicode" w:cs="Lucida Sans Unicode"/>
        <w:sz w:val="16"/>
        <w:szCs w:val="16"/>
      </w:rPr>
      <w:t xml:space="preserve">  Edgbaston</w:t>
    </w:r>
    <w:r w:rsidR="00160A11">
      <w:rPr>
        <w:rFonts w:ascii="Lucida Sans Unicode" w:hAnsi="Lucida Sans Unicode" w:cs="Lucida Sans Unicode"/>
        <w:sz w:val="16"/>
        <w:szCs w:val="16"/>
      </w:rPr>
      <w:t>,</w:t>
    </w:r>
    <w:r w:rsidR="00160A11" w:rsidRPr="0024078E">
      <w:rPr>
        <w:rFonts w:ascii="Lucida Sans Unicode" w:hAnsi="Lucida Sans Unicode" w:cs="Lucida Sans Unicode"/>
        <w:sz w:val="16"/>
        <w:szCs w:val="16"/>
      </w:rPr>
      <w:t xml:space="preserve">  Birmingham</w:t>
    </w:r>
    <w:r w:rsidR="00160A11">
      <w:rPr>
        <w:rFonts w:ascii="Lucida Sans Unicode" w:hAnsi="Lucida Sans Unicode" w:cs="Lucida Sans Unicode"/>
        <w:sz w:val="16"/>
        <w:szCs w:val="16"/>
      </w:rPr>
      <w:t>,</w:t>
    </w:r>
    <w:r w:rsidR="00160A11" w:rsidRPr="0024078E">
      <w:rPr>
        <w:rFonts w:ascii="Lucida Sans Unicode" w:hAnsi="Lucida Sans Unicode" w:cs="Lucida Sans Unicode"/>
        <w:sz w:val="16"/>
        <w:szCs w:val="16"/>
      </w:rPr>
      <w:t xml:space="preserve">  B15 2QU</w:t>
    </w:r>
    <w:r w:rsidR="00160A11">
      <w:rPr>
        <w:rFonts w:ascii="Lucida Sans Unicode" w:hAnsi="Lucida Sans Unicode" w:cs="Lucida Sans Unicode"/>
        <w:sz w:val="16"/>
        <w:szCs w:val="16"/>
      </w:rPr>
      <w:t>.</w:t>
    </w:r>
    <w:r w:rsidR="00160A11" w:rsidRPr="0024078E">
      <w:rPr>
        <w:rFonts w:ascii="Lucida Sans Unicode" w:hAnsi="Lucida Sans Unicode" w:cs="Lucida Sans Unicode"/>
        <w:sz w:val="16"/>
        <w:szCs w:val="16"/>
      </w:rPr>
      <w:t xml:space="preserve"> Telephone:  0121 687 3055 Fax:  0121 687 3054</w:t>
    </w:r>
  </w:p>
  <w:sdt>
    <w:sdtPr>
      <w:id w:val="-1669238322"/>
      <w:docPartObj>
        <w:docPartGallery w:val="Page Numbers (Top of Page)"/>
        <w:docPartUnique/>
      </w:docPartObj>
    </w:sdtPr>
    <w:sdtEndPr/>
    <w:sdtContent>
      <w:p w:rsidR="00160A11" w:rsidRPr="00B94763" w:rsidRDefault="00160A11" w:rsidP="00B94763">
        <w:pPr>
          <w:pStyle w:val="Footer"/>
          <w:jc w:val="center"/>
          <w:rPr>
            <w:rFonts w:ascii="Tahoma" w:hAnsi="Tahoma" w:cs="Tahoma"/>
            <w:b/>
            <w:bCs/>
            <w:sz w:val="24"/>
            <w:szCs w:val="24"/>
          </w:rPr>
        </w:pPr>
        <w:r w:rsidRPr="00B94763">
          <w:rPr>
            <w:rFonts w:ascii="Tahoma" w:hAnsi="Tahoma" w:cs="Tahoma"/>
          </w:rPr>
          <w:t xml:space="preserve">Page </w:t>
        </w:r>
        <w:r w:rsidRPr="00B94763">
          <w:rPr>
            <w:rFonts w:ascii="Tahoma" w:hAnsi="Tahoma" w:cs="Tahoma"/>
            <w:b/>
            <w:bCs/>
            <w:sz w:val="24"/>
            <w:szCs w:val="24"/>
          </w:rPr>
          <w:fldChar w:fldCharType="begin"/>
        </w:r>
        <w:r w:rsidRPr="00B94763">
          <w:rPr>
            <w:rFonts w:ascii="Tahoma" w:hAnsi="Tahoma" w:cs="Tahoma"/>
            <w:b/>
            <w:bCs/>
          </w:rPr>
          <w:instrText xml:space="preserve"> PAGE </w:instrText>
        </w:r>
        <w:r w:rsidRPr="00B94763">
          <w:rPr>
            <w:rFonts w:ascii="Tahoma" w:hAnsi="Tahoma" w:cs="Tahoma"/>
            <w:b/>
            <w:bCs/>
            <w:sz w:val="24"/>
            <w:szCs w:val="24"/>
          </w:rPr>
          <w:fldChar w:fldCharType="separate"/>
        </w:r>
        <w:r w:rsidR="00B3643E">
          <w:rPr>
            <w:rFonts w:ascii="Tahoma" w:hAnsi="Tahoma" w:cs="Tahoma"/>
            <w:b/>
            <w:bCs/>
            <w:noProof/>
          </w:rPr>
          <w:t>2</w:t>
        </w:r>
        <w:r w:rsidRPr="00B94763">
          <w:rPr>
            <w:rFonts w:ascii="Tahoma" w:hAnsi="Tahoma" w:cs="Tahoma"/>
            <w:b/>
            <w:bCs/>
            <w:sz w:val="24"/>
            <w:szCs w:val="24"/>
          </w:rPr>
          <w:fldChar w:fldCharType="end"/>
        </w:r>
        <w:r w:rsidRPr="00B94763">
          <w:rPr>
            <w:rFonts w:ascii="Tahoma" w:hAnsi="Tahoma" w:cs="Tahoma"/>
          </w:rPr>
          <w:t xml:space="preserve"> of </w:t>
        </w:r>
        <w:r w:rsidRPr="00B94763">
          <w:rPr>
            <w:rFonts w:ascii="Tahoma" w:hAnsi="Tahoma" w:cs="Tahoma"/>
            <w:b/>
            <w:bCs/>
            <w:sz w:val="24"/>
            <w:szCs w:val="24"/>
          </w:rPr>
          <w:fldChar w:fldCharType="begin"/>
        </w:r>
        <w:r w:rsidRPr="00B94763">
          <w:rPr>
            <w:rFonts w:ascii="Tahoma" w:hAnsi="Tahoma" w:cs="Tahoma"/>
            <w:b/>
            <w:bCs/>
          </w:rPr>
          <w:instrText xml:space="preserve"> NUMPAGES  </w:instrText>
        </w:r>
        <w:r w:rsidRPr="00B94763">
          <w:rPr>
            <w:rFonts w:ascii="Tahoma" w:hAnsi="Tahoma" w:cs="Tahoma"/>
            <w:b/>
            <w:bCs/>
            <w:sz w:val="24"/>
            <w:szCs w:val="24"/>
          </w:rPr>
          <w:fldChar w:fldCharType="separate"/>
        </w:r>
        <w:r w:rsidR="00B3643E">
          <w:rPr>
            <w:rFonts w:ascii="Tahoma" w:hAnsi="Tahoma" w:cs="Tahoma"/>
            <w:b/>
            <w:bCs/>
            <w:noProof/>
          </w:rPr>
          <w:t>2</w:t>
        </w:r>
        <w:r w:rsidRPr="00B94763">
          <w:rPr>
            <w:rFonts w:ascii="Tahoma" w:hAnsi="Tahoma" w:cs="Tahoma"/>
            <w:b/>
            <w:bCs/>
            <w:sz w:val="24"/>
            <w:szCs w:val="24"/>
          </w:rPr>
          <w:fldChar w:fldCharType="end"/>
        </w:r>
      </w:p>
      <w:p w:rsidR="00160A11" w:rsidRDefault="00B3643E" w:rsidP="00B94763">
        <w:pPr>
          <w:pStyle w:val="Footer"/>
          <w:jc w:val="cen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0A11" w:rsidRDefault="00160A11">
      <w:r>
        <w:separator/>
      </w:r>
    </w:p>
  </w:footnote>
  <w:footnote w:type="continuationSeparator" w:id="0">
    <w:p w:rsidR="00160A11" w:rsidRDefault="00160A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56CE6"/>
    <w:multiLevelType w:val="hybridMultilevel"/>
    <w:tmpl w:val="20B0758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7B3FB1"/>
    <w:multiLevelType w:val="multilevel"/>
    <w:tmpl w:val="770EB722"/>
    <w:styleLink w:val="Bullet01"/>
    <w:lvl w:ilvl="0">
      <w:start w:val="1"/>
      <w:numFmt w:val="bullet"/>
      <w:lvlText w:val=""/>
      <w:lvlJc w:val="left"/>
      <w:pPr>
        <w:tabs>
          <w:tab w:val="num" w:pos="360"/>
        </w:tabs>
        <w:ind w:left="360" w:hanging="360"/>
      </w:pPr>
      <w:rPr>
        <w:rFonts w:ascii="Symbol" w:hAnsi="Symbol"/>
        <w:color w:val="000000"/>
        <w:spacing w:val="-2"/>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79746B"/>
    <w:multiLevelType w:val="hybridMultilevel"/>
    <w:tmpl w:val="1ED67A1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50C252A"/>
    <w:multiLevelType w:val="hybridMultilevel"/>
    <w:tmpl w:val="EF8C8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0E43CE"/>
    <w:multiLevelType w:val="hybridMultilevel"/>
    <w:tmpl w:val="15A6DD1C"/>
    <w:lvl w:ilvl="0" w:tplc="EC46DD0E">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F54757D"/>
    <w:multiLevelType w:val="hybridMultilevel"/>
    <w:tmpl w:val="053C28A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1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32D003DD"/>
    <w:multiLevelType w:val="multilevel"/>
    <w:tmpl w:val="B3041950"/>
    <w:lvl w:ilvl="0">
      <w:start w:val="7"/>
      <w:numFmt w:val="decimal"/>
      <w:lvlText w:val="%1"/>
      <w:lvlJc w:val="left"/>
      <w:pPr>
        <w:ind w:left="525" w:hanging="525"/>
      </w:pPr>
      <w:rPr>
        <w:rFonts w:hint="default"/>
        <w:b/>
      </w:rPr>
    </w:lvl>
    <w:lvl w:ilvl="1">
      <w:start w:val="5"/>
      <w:numFmt w:val="decimal"/>
      <w:lvlText w:val="%1.%2"/>
      <w:lvlJc w:val="left"/>
      <w:pPr>
        <w:ind w:left="525" w:hanging="525"/>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361B63E5"/>
    <w:multiLevelType w:val="hybridMultilevel"/>
    <w:tmpl w:val="05447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475362"/>
    <w:multiLevelType w:val="hybridMultilevel"/>
    <w:tmpl w:val="2ABA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ED2B1B"/>
    <w:multiLevelType w:val="hybridMultilevel"/>
    <w:tmpl w:val="D0086B1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A411265"/>
    <w:multiLevelType w:val="multilevel"/>
    <w:tmpl w:val="770EB722"/>
    <w:numStyleLink w:val="Bullet01"/>
  </w:abstractNum>
  <w:abstractNum w:abstractNumId="11" w15:restartNumberingAfterBreak="0">
    <w:nsid w:val="3A852ED9"/>
    <w:multiLevelType w:val="hybridMultilevel"/>
    <w:tmpl w:val="116A953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22D03B4"/>
    <w:multiLevelType w:val="hybridMultilevel"/>
    <w:tmpl w:val="FFBA1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6710E53"/>
    <w:multiLevelType w:val="hybridMultilevel"/>
    <w:tmpl w:val="FC60B85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7235F93"/>
    <w:multiLevelType w:val="hybridMultilevel"/>
    <w:tmpl w:val="EE26E064"/>
    <w:lvl w:ilvl="0" w:tplc="EC46DD0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97145D6"/>
    <w:multiLevelType w:val="hybridMultilevel"/>
    <w:tmpl w:val="C6D8D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8934FB6"/>
    <w:multiLevelType w:val="multilevel"/>
    <w:tmpl w:val="AAC83360"/>
    <w:lvl w:ilvl="0">
      <w:start w:val="1"/>
      <w:numFmt w:val="decimal"/>
      <w:lvlText w:val="%1"/>
      <w:lvlJc w:val="left"/>
      <w:pPr>
        <w:ind w:left="360" w:hanging="360"/>
      </w:pPr>
      <w:rPr>
        <w:rFonts w:cs="Times New Roman" w:hint="default"/>
        <w:sz w:val="28"/>
        <w:szCs w:val="28"/>
      </w:rPr>
    </w:lvl>
    <w:lvl w:ilvl="1">
      <w:start w:val="1"/>
      <w:numFmt w:val="decimal"/>
      <w:lvlText w:val="%1.%2"/>
      <w:lvlJc w:val="left"/>
      <w:pPr>
        <w:ind w:left="360" w:hanging="360"/>
      </w:pPr>
      <w:rPr>
        <w:rFonts w:cs="Times New Roman" w:hint="default"/>
        <w:i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7" w15:restartNumberingAfterBreak="0">
    <w:nsid w:val="5A855B0A"/>
    <w:multiLevelType w:val="hybridMultilevel"/>
    <w:tmpl w:val="B928C5E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6A36628F"/>
    <w:multiLevelType w:val="hybridMultilevel"/>
    <w:tmpl w:val="C29A0C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B431C17"/>
    <w:multiLevelType w:val="multilevel"/>
    <w:tmpl w:val="770EB722"/>
    <w:numStyleLink w:val="Bullet01"/>
  </w:abstractNum>
  <w:abstractNum w:abstractNumId="20" w15:restartNumberingAfterBreak="0">
    <w:nsid w:val="7E9F7221"/>
    <w:multiLevelType w:val="hybridMultilevel"/>
    <w:tmpl w:val="368C0236"/>
    <w:lvl w:ilvl="0" w:tplc="247E43C0">
      <w:start w:val="1"/>
      <w:numFmt w:val="decimal"/>
      <w:lvlText w:val="%1."/>
      <w:lvlJc w:val="left"/>
      <w:pPr>
        <w:tabs>
          <w:tab w:val="num" w:pos="720"/>
        </w:tabs>
        <w:ind w:left="720" w:hanging="360"/>
      </w:pPr>
      <w:rPr>
        <w:rFonts w:cs="Times New Roman" w:hint="default"/>
        <w:sz w:val="28"/>
      </w:rPr>
    </w:lvl>
    <w:lvl w:ilvl="1" w:tplc="B196716E">
      <w:numFmt w:val="none"/>
      <w:lvlText w:val=""/>
      <w:lvlJc w:val="left"/>
      <w:pPr>
        <w:tabs>
          <w:tab w:val="num" w:pos="360"/>
        </w:tabs>
      </w:pPr>
      <w:rPr>
        <w:rFonts w:cs="Times New Roman"/>
      </w:rPr>
    </w:lvl>
    <w:lvl w:ilvl="2" w:tplc="F0F2246A">
      <w:numFmt w:val="none"/>
      <w:lvlText w:val=""/>
      <w:lvlJc w:val="left"/>
      <w:pPr>
        <w:tabs>
          <w:tab w:val="num" w:pos="360"/>
        </w:tabs>
      </w:pPr>
      <w:rPr>
        <w:rFonts w:cs="Times New Roman"/>
      </w:rPr>
    </w:lvl>
    <w:lvl w:ilvl="3" w:tplc="401E4226">
      <w:numFmt w:val="none"/>
      <w:lvlText w:val=""/>
      <w:lvlJc w:val="left"/>
      <w:pPr>
        <w:tabs>
          <w:tab w:val="num" w:pos="360"/>
        </w:tabs>
      </w:pPr>
      <w:rPr>
        <w:rFonts w:cs="Times New Roman"/>
      </w:rPr>
    </w:lvl>
    <w:lvl w:ilvl="4" w:tplc="0D68AF7E">
      <w:numFmt w:val="none"/>
      <w:lvlText w:val=""/>
      <w:lvlJc w:val="left"/>
      <w:pPr>
        <w:tabs>
          <w:tab w:val="num" w:pos="360"/>
        </w:tabs>
      </w:pPr>
      <w:rPr>
        <w:rFonts w:cs="Times New Roman"/>
      </w:rPr>
    </w:lvl>
    <w:lvl w:ilvl="5" w:tplc="22BCCCBE">
      <w:numFmt w:val="none"/>
      <w:lvlText w:val=""/>
      <w:lvlJc w:val="left"/>
      <w:pPr>
        <w:tabs>
          <w:tab w:val="num" w:pos="360"/>
        </w:tabs>
      </w:pPr>
      <w:rPr>
        <w:rFonts w:cs="Times New Roman"/>
      </w:rPr>
    </w:lvl>
    <w:lvl w:ilvl="6" w:tplc="19C29242">
      <w:numFmt w:val="none"/>
      <w:lvlText w:val=""/>
      <w:lvlJc w:val="left"/>
      <w:pPr>
        <w:tabs>
          <w:tab w:val="num" w:pos="360"/>
        </w:tabs>
      </w:pPr>
      <w:rPr>
        <w:rFonts w:cs="Times New Roman"/>
      </w:rPr>
    </w:lvl>
    <w:lvl w:ilvl="7" w:tplc="73783740">
      <w:numFmt w:val="none"/>
      <w:lvlText w:val=""/>
      <w:lvlJc w:val="left"/>
      <w:pPr>
        <w:tabs>
          <w:tab w:val="num" w:pos="360"/>
        </w:tabs>
      </w:pPr>
      <w:rPr>
        <w:rFonts w:cs="Times New Roman"/>
      </w:rPr>
    </w:lvl>
    <w:lvl w:ilvl="8" w:tplc="1FE62830">
      <w:numFmt w:val="none"/>
      <w:lvlText w:val=""/>
      <w:lvlJc w:val="left"/>
      <w:pPr>
        <w:tabs>
          <w:tab w:val="num" w:pos="360"/>
        </w:tabs>
      </w:pPr>
      <w:rPr>
        <w:rFonts w:cs="Times New Roman"/>
      </w:rPr>
    </w:lvl>
  </w:abstractNum>
  <w:num w:numId="1">
    <w:abstractNumId w:val="3"/>
  </w:num>
  <w:num w:numId="2">
    <w:abstractNumId w:val="20"/>
  </w:num>
  <w:num w:numId="3">
    <w:abstractNumId w:val="16"/>
  </w:num>
  <w:num w:numId="4">
    <w:abstractNumId w:val="17"/>
  </w:num>
  <w:num w:numId="5">
    <w:abstractNumId w:val="6"/>
  </w:num>
  <w:num w:numId="6">
    <w:abstractNumId w:val="15"/>
  </w:num>
  <w:num w:numId="7">
    <w:abstractNumId w:val="12"/>
  </w:num>
  <w:num w:numId="8">
    <w:abstractNumId w:val="8"/>
  </w:num>
  <w:num w:numId="9">
    <w:abstractNumId w:val="7"/>
  </w:num>
  <w:num w:numId="10">
    <w:abstractNumId w:val="5"/>
  </w:num>
  <w:num w:numId="11">
    <w:abstractNumId w:val="2"/>
  </w:num>
  <w:num w:numId="12">
    <w:abstractNumId w:val="1"/>
  </w:num>
  <w:num w:numId="13">
    <w:abstractNumId w:val="19"/>
  </w:num>
  <w:num w:numId="14">
    <w:abstractNumId w:val="10"/>
  </w:num>
  <w:num w:numId="15">
    <w:abstractNumId w:val="9"/>
  </w:num>
  <w:num w:numId="16">
    <w:abstractNumId w:val="14"/>
  </w:num>
  <w:num w:numId="17">
    <w:abstractNumId w:val="11"/>
  </w:num>
  <w:num w:numId="18">
    <w:abstractNumId w:val="4"/>
  </w:num>
  <w:num w:numId="19">
    <w:abstractNumId w:val="18"/>
  </w:num>
  <w:num w:numId="20">
    <w:abstractNumId w:val="0"/>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defaultTabStop w:val="720"/>
  <w:drawingGridHorizontalSpacing w:val="110"/>
  <w:drawingGridVerticalSpacing w:val="299"/>
  <w:displayHorizontalDrawingGridEvery w:val="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BF7"/>
    <w:rsid w:val="00046B40"/>
    <w:rsid w:val="00074FE5"/>
    <w:rsid w:val="00137C42"/>
    <w:rsid w:val="00160A11"/>
    <w:rsid w:val="00185C49"/>
    <w:rsid w:val="002011E2"/>
    <w:rsid w:val="0024078E"/>
    <w:rsid w:val="002877C3"/>
    <w:rsid w:val="002A39BF"/>
    <w:rsid w:val="003279D9"/>
    <w:rsid w:val="00373307"/>
    <w:rsid w:val="00426248"/>
    <w:rsid w:val="00512919"/>
    <w:rsid w:val="0053565E"/>
    <w:rsid w:val="0056780D"/>
    <w:rsid w:val="005B7F28"/>
    <w:rsid w:val="005C75EA"/>
    <w:rsid w:val="00623800"/>
    <w:rsid w:val="0069640E"/>
    <w:rsid w:val="006A5D37"/>
    <w:rsid w:val="00751403"/>
    <w:rsid w:val="00792F58"/>
    <w:rsid w:val="007943E0"/>
    <w:rsid w:val="00795DB7"/>
    <w:rsid w:val="007F5D14"/>
    <w:rsid w:val="00805173"/>
    <w:rsid w:val="00815365"/>
    <w:rsid w:val="008727C7"/>
    <w:rsid w:val="00957610"/>
    <w:rsid w:val="00961F68"/>
    <w:rsid w:val="009D39EE"/>
    <w:rsid w:val="009D3A1D"/>
    <w:rsid w:val="00A14F73"/>
    <w:rsid w:val="00A217A5"/>
    <w:rsid w:val="00A402D2"/>
    <w:rsid w:val="00AD21AE"/>
    <w:rsid w:val="00B3643E"/>
    <w:rsid w:val="00B4652A"/>
    <w:rsid w:val="00B94763"/>
    <w:rsid w:val="00BF032C"/>
    <w:rsid w:val="00C14550"/>
    <w:rsid w:val="00CA0E51"/>
    <w:rsid w:val="00CB5B30"/>
    <w:rsid w:val="00CB68CF"/>
    <w:rsid w:val="00CD7644"/>
    <w:rsid w:val="00DA2499"/>
    <w:rsid w:val="00DE1160"/>
    <w:rsid w:val="00E37681"/>
    <w:rsid w:val="00E44BF7"/>
    <w:rsid w:val="00E66C27"/>
    <w:rsid w:val="00E725C8"/>
    <w:rsid w:val="00F538A8"/>
    <w:rsid w:val="00FB45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8991902"/>
  <w15:docId w15:val="{4DCEA794-9E5B-4637-9683-11615AE1D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heme="minorBidi"/>
        <w:sz w:val="24"/>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44BF7"/>
    <w:pPr>
      <w:tabs>
        <w:tab w:val="center" w:pos="4513"/>
        <w:tab w:val="right" w:pos="9026"/>
      </w:tabs>
    </w:pPr>
  </w:style>
  <w:style w:type="character" w:customStyle="1" w:styleId="FooterChar">
    <w:name w:val="Footer Char"/>
    <w:basedOn w:val="DefaultParagraphFont"/>
    <w:link w:val="Footer"/>
    <w:uiPriority w:val="99"/>
    <w:rsid w:val="00E44BF7"/>
    <w:rPr>
      <w:rFonts w:cs="Times New Roman"/>
      <w:sz w:val="20"/>
      <w:szCs w:val="20"/>
      <w:lang w:eastAsia="en-GB"/>
    </w:rPr>
  </w:style>
  <w:style w:type="paragraph" w:styleId="ListParagraph">
    <w:name w:val="List Paragraph"/>
    <w:basedOn w:val="Normal"/>
    <w:uiPriority w:val="34"/>
    <w:qFormat/>
    <w:rsid w:val="00DE1160"/>
    <w:pPr>
      <w:ind w:left="720"/>
      <w:contextualSpacing/>
    </w:pPr>
  </w:style>
  <w:style w:type="paragraph" w:styleId="BalloonText">
    <w:name w:val="Balloon Text"/>
    <w:basedOn w:val="Normal"/>
    <w:link w:val="BalloonTextChar"/>
    <w:uiPriority w:val="99"/>
    <w:semiHidden/>
    <w:unhideWhenUsed/>
    <w:rsid w:val="00DA2499"/>
    <w:rPr>
      <w:rFonts w:ascii="Tahoma" w:hAnsi="Tahoma" w:cs="Tahoma"/>
      <w:sz w:val="16"/>
      <w:szCs w:val="16"/>
    </w:rPr>
  </w:style>
  <w:style w:type="character" w:customStyle="1" w:styleId="BalloonTextChar">
    <w:name w:val="Balloon Text Char"/>
    <w:basedOn w:val="DefaultParagraphFont"/>
    <w:link w:val="BalloonText"/>
    <w:uiPriority w:val="99"/>
    <w:semiHidden/>
    <w:rsid w:val="00DA2499"/>
    <w:rPr>
      <w:rFonts w:ascii="Tahoma" w:hAnsi="Tahoma" w:cs="Tahoma"/>
      <w:sz w:val="16"/>
      <w:szCs w:val="16"/>
      <w:lang w:eastAsia="en-GB"/>
    </w:rPr>
  </w:style>
  <w:style w:type="paragraph" w:styleId="Header">
    <w:name w:val="header"/>
    <w:basedOn w:val="Normal"/>
    <w:link w:val="HeaderChar"/>
    <w:uiPriority w:val="99"/>
    <w:unhideWhenUsed/>
    <w:rsid w:val="0024078E"/>
    <w:pPr>
      <w:tabs>
        <w:tab w:val="center" w:pos="4513"/>
        <w:tab w:val="right" w:pos="9026"/>
      </w:tabs>
    </w:pPr>
  </w:style>
  <w:style w:type="character" w:customStyle="1" w:styleId="HeaderChar">
    <w:name w:val="Header Char"/>
    <w:basedOn w:val="DefaultParagraphFont"/>
    <w:link w:val="Header"/>
    <w:uiPriority w:val="99"/>
    <w:rsid w:val="0024078E"/>
    <w:rPr>
      <w:rFonts w:cs="Times New Roman"/>
      <w:sz w:val="20"/>
      <w:szCs w:val="20"/>
      <w:lang w:eastAsia="en-GB"/>
    </w:rPr>
  </w:style>
  <w:style w:type="numbering" w:customStyle="1" w:styleId="Bullet01">
    <w:name w:val="Bullet_01"/>
    <w:basedOn w:val="NoList"/>
    <w:rsid w:val="00795DB7"/>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7658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bma.org.uk/advice-and-support/gp-practices/managing-workload/general-practice-responsibility-in-responding-to-private-healthcar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Pages>
  <Words>620</Words>
  <Characters>3534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4146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Sanjiv BASRA</cp:lastModifiedBy>
  <cp:revision>4</cp:revision>
  <dcterms:created xsi:type="dcterms:W3CDTF">2024-11-18T17:23:00Z</dcterms:created>
  <dcterms:modified xsi:type="dcterms:W3CDTF">2024-11-27T12:15:00Z</dcterms:modified>
</cp:coreProperties>
</file>